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C5" w:rsidRDefault="00B94BE1" w:rsidP="006D7F82">
      <w:pPr>
        <w:contextualSpacing/>
        <w:jc w:val="right"/>
        <w:outlineLvl w:val="0"/>
        <w:rPr>
          <w:bCs/>
          <w:i/>
          <w:sz w:val="22"/>
          <w:szCs w:val="22"/>
          <w:lang w:val="kk-KZ"/>
        </w:rPr>
      </w:pPr>
      <w:bookmarkStart w:id="0" w:name="_GoBack"/>
      <w:bookmarkEnd w:id="0"/>
      <w:r>
        <w:rPr>
          <w:bCs/>
          <w:i/>
          <w:sz w:val="22"/>
          <w:szCs w:val="22"/>
          <w:lang w:val="kk-KZ"/>
        </w:rPr>
        <w:t>2019-02-15</w:t>
      </w:r>
    </w:p>
    <w:p w:rsidR="00B94BE1" w:rsidRPr="00B94BE1" w:rsidRDefault="00B94BE1" w:rsidP="006D7F82">
      <w:pPr>
        <w:contextualSpacing/>
        <w:jc w:val="right"/>
        <w:outlineLvl w:val="0"/>
        <w:rPr>
          <w:bCs/>
          <w:i/>
          <w:sz w:val="22"/>
          <w:szCs w:val="22"/>
          <w:lang w:val="kk-KZ"/>
        </w:rPr>
      </w:pPr>
      <w:r>
        <w:rPr>
          <w:bCs/>
          <w:i/>
          <w:sz w:val="22"/>
          <w:szCs w:val="22"/>
          <w:lang w:val="kk-KZ"/>
        </w:rPr>
        <w:t>ИПН</w:t>
      </w:r>
    </w:p>
    <w:p w:rsidR="006D7F82" w:rsidRPr="006D7F82" w:rsidRDefault="006D7F82" w:rsidP="006D7F82">
      <w:pPr>
        <w:contextualSpacing/>
        <w:jc w:val="right"/>
        <w:outlineLvl w:val="0"/>
        <w:rPr>
          <w:bCs/>
          <w:i/>
          <w:sz w:val="22"/>
          <w:szCs w:val="22"/>
        </w:rPr>
      </w:pPr>
    </w:p>
    <w:p w:rsidR="00291665" w:rsidRPr="0096332A" w:rsidRDefault="00291665" w:rsidP="00291665">
      <w:pPr>
        <w:contextualSpacing/>
        <w:jc w:val="center"/>
        <w:outlineLvl w:val="0"/>
        <w:rPr>
          <w:sz w:val="22"/>
          <w:szCs w:val="22"/>
        </w:rPr>
      </w:pPr>
      <w:r w:rsidRPr="0096332A">
        <w:rPr>
          <w:b/>
          <w:bCs/>
          <w:sz w:val="22"/>
          <w:szCs w:val="22"/>
        </w:rPr>
        <w:t>Сравнительная таблица по проекту Закона Республики Казахстан</w:t>
      </w:r>
    </w:p>
    <w:p w:rsidR="00291665" w:rsidRDefault="00291665" w:rsidP="00291665">
      <w:pPr>
        <w:contextualSpacing/>
        <w:jc w:val="center"/>
        <w:outlineLvl w:val="0"/>
        <w:rPr>
          <w:sz w:val="22"/>
          <w:szCs w:val="22"/>
        </w:rPr>
      </w:pPr>
      <w:r w:rsidRPr="0096332A">
        <w:rPr>
          <w:sz w:val="22"/>
          <w:szCs w:val="22"/>
        </w:rPr>
        <w:t>«</w:t>
      </w:r>
      <w:r w:rsidRPr="0096332A">
        <w:rPr>
          <w:b/>
          <w:bCs/>
          <w:sz w:val="22"/>
          <w:szCs w:val="22"/>
        </w:rPr>
        <w:t xml:space="preserve">О внесении изменений и дополнений в некоторые законодательные акты Республики Казахстан </w:t>
      </w:r>
      <w:r w:rsidRPr="0096332A">
        <w:rPr>
          <w:b/>
          <w:bCs/>
          <w:sz w:val="22"/>
          <w:szCs w:val="22"/>
        </w:rPr>
        <w:br/>
        <w:t>по вопросам налогообложения</w:t>
      </w:r>
      <w:r w:rsidRPr="0096332A">
        <w:rPr>
          <w:sz w:val="22"/>
          <w:szCs w:val="22"/>
        </w:rPr>
        <w:t>»</w:t>
      </w:r>
    </w:p>
    <w:p w:rsidR="00291665" w:rsidRPr="0096332A" w:rsidRDefault="00291665" w:rsidP="00291665">
      <w:pPr>
        <w:contextualSpacing/>
        <w:jc w:val="center"/>
        <w:outlineLvl w:val="0"/>
        <w:rPr>
          <w:sz w:val="22"/>
          <w:szCs w:val="22"/>
        </w:rPr>
      </w:pPr>
    </w:p>
    <w:tbl>
      <w:tblPr>
        <w:tblStyle w:val="a3"/>
        <w:tblW w:w="15052" w:type="dxa"/>
        <w:tblLayout w:type="fixed"/>
        <w:tblLook w:val="04A0" w:firstRow="1" w:lastRow="0" w:firstColumn="1" w:lastColumn="0" w:noHBand="0" w:noVBand="1"/>
      </w:tblPr>
      <w:tblGrid>
        <w:gridCol w:w="675"/>
        <w:gridCol w:w="1134"/>
        <w:gridCol w:w="4111"/>
        <w:gridCol w:w="4111"/>
        <w:gridCol w:w="3745"/>
        <w:gridCol w:w="1276"/>
      </w:tblGrid>
      <w:tr w:rsidR="00291665" w:rsidTr="00CC6E8E">
        <w:tc>
          <w:tcPr>
            <w:tcW w:w="675" w:type="dxa"/>
          </w:tcPr>
          <w:p w:rsidR="00291665" w:rsidRPr="0096332A" w:rsidRDefault="00291665" w:rsidP="00441AE6">
            <w:pPr>
              <w:pStyle w:val="a4"/>
              <w:contextualSpacing/>
              <w:jc w:val="both"/>
              <w:rPr>
                <w:rStyle w:val="s1"/>
                <w:sz w:val="22"/>
                <w:szCs w:val="22"/>
              </w:rPr>
            </w:pPr>
            <w:r w:rsidRPr="0096332A">
              <w:rPr>
                <w:rStyle w:val="s1"/>
                <w:sz w:val="22"/>
                <w:szCs w:val="22"/>
              </w:rPr>
              <w:t>№ п/п</w:t>
            </w:r>
          </w:p>
        </w:tc>
        <w:tc>
          <w:tcPr>
            <w:tcW w:w="1134" w:type="dxa"/>
          </w:tcPr>
          <w:p w:rsidR="00291665" w:rsidRPr="0096332A" w:rsidRDefault="00291665" w:rsidP="00441AE6">
            <w:pPr>
              <w:contextualSpacing/>
              <w:jc w:val="center"/>
              <w:rPr>
                <w:rStyle w:val="s1"/>
                <w:sz w:val="22"/>
                <w:szCs w:val="22"/>
              </w:rPr>
            </w:pPr>
            <w:bookmarkStart w:id="1" w:name="SUB1560000"/>
            <w:bookmarkStart w:id="2" w:name="SUB1800200"/>
            <w:bookmarkEnd w:id="1"/>
            <w:bookmarkEnd w:id="2"/>
            <w:r w:rsidRPr="0096332A">
              <w:rPr>
                <w:b/>
                <w:sz w:val="22"/>
                <w:szCs w:val="22"/>
              </w:rPr>
              <w:t>Структурный элемент</w:t>
            </w:r>
          </w:p>
        </w:tc>
        <w:tc>
          <w:tcPr>
            <w:tcW w:w="4111" w:type="dxa"/>
          </w:tcPr>
          <w:p w:rsidR="00291665" w:rsidRPr="0096332A" w:rsidRDefault="00291665" w:rsidP="00441AE6">
            <w:pPr>
              <w:ind w:firstLine="259"/>
              <w:contextualSpacing/>
              <w:jc w:val="center"/>
              <w:rPr>
                <w:rStyle w:val="s1"/>
                <w:b w:val="0"/>
                <w:sz w:val="22"/>
                <w:szCs w:val="22"/>
              </w:rPr>
            </w:pPr>
            <w:r w:rsidRPr="0096332A">
              <w:rPr>
                <w:b/>
                <w:bCs/>
                <w:sz w:val="22"/>
                <w:szCs w:val="22"/>
              </w:rPr>
              <w:t>Действующая редакция</w:t>
            </w:r>
          </w:p>
        </w:tc>
        <w:tc>
          <w:tcPr>
            <w:tcW w:w="4111" w:type="dxa"/>
          </w:tcPr>
          <w:p w:rsidR="00291665" w:rsidRPr="0096332A" w:rsidRDefault="00291665" w:rsidP="00441AE6">
            <w:pPr>
              <w:widowControl w:val="0"/>
              <w:suppressAutoHyphens/>
              <w:contextualSpacing/>
              <w:jc w:val="center"/>
              <w:rPr>
                <w:rStyle w:val="s1"/>
                <w:b w:val="0"/>
                <w:bCs w:val="0"/>
                <w:sz w:val="22"/>
                <w:szCs w:val="22"/>
              </w:rPr>
            </w:pPr>
            <w:r w:rsidRPr="0096332A">
              <w:rPr>
                <w:b/>
                <w:bCs/>
                <w:sz w:val="22"/>
                <w:szCs w:val="22"/>
              </w:rPr>
              <w:t>Предлагаемая редакция</w:t>
            </w:r>
          </w:p>
        </w:tc>
        <w:tc>
          <w:tcPr>
            <w:tcW w:w="3745" w:type="dxa"/>
          </w:tcPr>
          <w:p w:rsidR="00291665" w:rsidRPr="0096332A" w:rsidRDefault="00291665" w:rsidP="00441AE6">
            <w:pPr>
              <w:widowControl w:val="0"/>
              <w:suppressAutoHyphens/>
              <w:ind w:firstLine="176"/>
              <w:contextualSpacing/>
              <w:jc w:val="center"/>
              <w:rPr>
                <w:rStyle w:val="s1"/>
                <w:b w:val="0"/>
                <w:bCs w:val="0"/>
                <w:sz w:val="22"/>
                <w:szCs w:val="22"/>
              </w:rPr>
            </w:pPr>
            <w:r w:rsidRPr="0096332A">
              <w:rPr>
                <w:b/>
                <w:sz w:val="22"/>
                <w:szCs w:val="22"/>
              </w:rPr>
              <w:t>Обоснование</w:t>
            </w:r>
          </w:p>
        </w:tc>
        <w:tc>
          <w:tcPr>
            <w:tcW w:w="1276" w:type="dxa"/>
          </w:tcPr>
          <w:p w:rsidR="00291665" w:rsidRPr="0096332A" w:rsidRDefault="00291665" w:rsidP="00441AE6">
            <w:pPr>
              <w:widowControl w:val="0"/>
              <w:suppressAutoHyphens/>
              <w:contextualSpacing/>
              <w:jc w:val="center"/>
              <w:rPr>
                <w:b/>
                <w:sz w:val="22"/>
                <w:szCs w:val="22"/>
              </w:rPr>
            </w:pPr>
            <w:r w:rsidRPr="0096332A">
              <w:rPr>
                <w:b/>
                <w:sz w:val="22"/>
                <w:szCs w:val="22"/>
              </w:rPr>
              <w:t>Автор</w:t>
            </w:r>
          </w:p>
        </w:tc>
      </w:tr>
      <w:tr w:rsidR="000C06BC" w:rsidTr="00CC6E8E">
        <w:tc>
          <w:tcPr>
            <w:tcW w:w="675" w:type="dxa"/>
          </w:tcPr>
          <w:p w:rsidR="000C06BC" w:rsidRPr="008749D1" w:rsidRDefault="000C06BC" w:rsidP="00BD7A9C">
            <w:pPr>
              <w:pStyle w:val="a4"/>
              <w:numPr>
                <w:ilvl w:val="0"/>
                <w:numId w:val="10"/>
              </w:numPr>
              <w:contextualSpacing/>
              <w:jc w:val="both"/>
              <w:rPr>
                <w:rStyle w:val="s1"/>
                <w:b w:val="0"/>
                <w:sz w:val="22"/>
                <w:szCs w:val="22"/>
                <w:lang w:val="en-US"/>
              </w:rPr>
            </w:pPr>
          </w:p>
        </w:tc>
        <w:tc>
          <w:tcPr>
            <w:tcW w:w="1134" w:type="dxa"/>
          </w:tcPr>
          <w:p w:rsidR="000C06BC" w:rsidRPr="00FD1F19" w:rsidRDefault="00FD1F19" w:rsidP="00E10E68">
            <w:pPr>
              <w:contextualSpacing/>
              <w:jc w:val="center"/>
              <w:rPr>
                <w:sz w:val="22"/>
                <w:szCs w:val="22"/>
              </w:rPr>
            </w:pPr>
            <w:r>
              <w:rPr>
                <w:sz w:val="22"/>
                <w:szCs w:val="22"/>
              </w:rPr>
              <w:t>пп.</w:t>
            </w:r>
            <w:r w:rsidR="00E10E68">
              <w:rPr>
                <w:sz w:val="22"/>
                <w:szCs w:val="22"/>
              </w:rPr>
              <w:t>9</w:t>
            </w:r>
            <w:r>
              <w:rPr>
                <w:sz w:val="22"/>
                <w:szCs w:val="22"/>
              </w:rPr>
              <w:t>) п.</w:t>
            </w:r>
            <w:r w:rsidR="00E10E68">
              <w:rPr>
                <w:sz w:val="22"/>
                <w:szCs w:val="22"/>
              </w:rPr>
              <w:t>2 ст.319</w:t>
            </w:r>
          </w:p>
        </w:tc>
        <w:tc>
          <w:tcPr>
            <w:tcW w:w="4111" w:type="dxa"/>
          </w:tcPr>
          <w:p w:rsidR="00DA7EF3" w:rsidRPr="00DA7EF3" w:rsidRDefault="00DA7EF3" w:rsidP="00E6370E">
            <w:pPr>
              <w:ind w:firstLine="400"/>
              <w:jc w:val="both"/>
              <w:rPr>
                <w:b/>
                <w:color w:val="000000"/>
                <w:sz w:val="22"/>
                <w:szCs w:val="22"/>
              </w:rPr>
            </w:pPr>
            <w:r w:rsidRPr="00DA7EF3">
              <w:rPr>
                <w:b/>
                <w:color w:val="000000"/>
                <w:sz w:val="22"/>
                <w:szCs w:val="22"/>
              </w:rPr>
              <w:t>Статья 319. Годовой доход физического лица</w:t>
            </w:r>
          </w:p>
          <w:p w:rsidR="00E10E68" w:rsidRDefault="00E10E68" w:rsidP="00E6370E">
            <w:pPr>
              <w:ind w:firstLine="400"/>
              <w:jc w:val="both"/>
              <w:rPr>
                <w:color w:val="000000"/>
                <w:sz w:val="22"/>
                <w:szCs w:val="22"/>
              </w:rPr>
            </w:pPr>
            <w:r>
              <w:rPr>
                <w:color w:val="000000"/>
                <w:sz w:val="22"/>
                <w:szCs w:val="22"/>
              </w:rPr>
              <w:t>2</w:t>
            </w:r>
            <w:r w:rsidR="00E6370E" w:rsidRPr="00E6370E">
              <w:rPr>
                <w:color w:val="000000"/>
                <w:sz w:val="22"/>
                <w:szCs w:val="22"/>
              </w:rPr>
              <w:t xml:space="preserve">. Не </w:t>
            </w:r>
            <w:r>
              <w:rPr>
                <w:color w:val="000000"/>
                <w:sz w:val="22"/>
                <w:szCs w:val="22"/>
              </w:rPr>
              <w:t>рассматриваются в качестве дохода физического лица:</w:t>
            </w:r>
          </w:p>
          <w:p w:rsidR="000C06BC" w:rsidRDefault="00E6370E" w:rsidP="00E6370E">
            <w:pPr>
              <w:ind w:firstLine="400"/>
              <w:jc w:val="both"/>
              <w:rPr>
                <w:color w:val="000000"/>
                <w:sz w:val="22"/>
                <w:szCs w:val="22"/>
              </w:rPr>
            </w:pPr>
            <w:r>
              <w:rPr>
                <w:color w:val="000000"/>
                <w:sz w:val="22"/>
                <w:szCs w:val="22"/>
              </w:rPr>
              <w:t>……</w:t>
            </w:r>
          </w:p>
          <w:p w:rsidR="00E10E68" w:rsidRDefault="00E10E68" w:rsidP="00E6370E">
            <w:pPr>
              <w:ind w:firstLine="400"/>
              <w:jc w:val="both"/>
              <w:rPr>
                <w:color w:val="000000"/>
                <w:sz w:val="22"/>
                <w:szCs w:val="22"/>
              </w:rPr>
            </w:pPr>
            <w:r>
              <w:rPr>
                <w:color w:val="000000"/>
                <w:sz w:val="22"/>
                <w:szCs w:val="22"/>
              </w:rPr>
              <w:t>9) расходы работодателя, связанные с доставкой работников от места их жительства (пребывания) в Республике Казахстан до места работы и обратно</w:t>
            </w:r>
            <w:r w:rsidRPr="00141C9C">
              <w:rPr>
                <w:b/>
                <w:color w:val="000000"/>
                <w:sz w:val="22"/>
                <w:szCs w:val="22"/>
              </w:rPr>
              <w:t>, при соблюдении условия заключения работодателем с контрагентом договора на оказание услуг по доставке работников</w:t>
            </w:r>
            <w:r w:rsidR="00141C9C" w:rsidRPr="00141C9C">
              <w:rPr>
                <w:b/>
                <w:color w:val="000000"/>
                <w:sz w:val="22"/>
                <w:szCs w:val="22"/>
              </w:rPr>
              <w:t xml:space="preserve"> до места работы и обратно</w:t>
            </w:r>
            <w:r w:rsidR="00141C9C">
              <w:rPr>
                <w:color w:val="000000"/>
                <w:sz w:val="22"/>
                <w:szCs w:val="22"/>
              </w:rPr>
              <w:t>;</w:t>
            </w:r>
          </w:p>
          <w:p w:rsidR="004830EA" w:rsidRPr="0096332A" w:rsidRDefault="00F57EA0" w:rsidP="00E6370E">
            <w:pPr>
              <w:ind w:firstLine="400"/>
              <w:jc w:val="both"/>
              <w:rPr>
                <w:b/>
                <w:bCs/>
                <w:sz w:val="22"/>
                <w:szCs w:val="22"/>
              </w:rPr>
            </w:pPr>
            <w:r>
              <w:rPr>
                <w:color w:val="000000"/>
                <w:sz w:val="22"/>
                <w:szCs w:val="22"/>
              </w:rPr>
              <w:t>…….</w:t>
            </w:r>
          </w:p>
        </w:tc>
        <w:tc>
          <w:tcPr>
            <w:tcW w:w="4111" w:type="dxa"/>
          </w:tcPr>
          <w:p w:rsidR="00DA7EF3" w:rsidRPr="00DA7EF3" w:rsidRDefault="00DA7EF3" w:rsidP="00DA7EF3">
            <w:pPr>
              <w:ind w:firstLine="400"/>
              <w:jc w:val="both"/>
              <w:rPr>
                <w:b/>
                <w:color w:val="000000"/>
                <w:sz w:val="22"/>
                <w:szCs w:val="22"/>
              </w:rPr>
            </w:pPr>
            <w:r w:rsidRPr="00DA7EF3">
              <w:rPr>
                <w:b/>
                <w:color w:val="000000"/>
                <w:sz w:val="22"/>
                <w:szCs w:val="22"/>
              </w:rPr>
              <w:t>Статья 319. Годовой доход физического лица</w:t>
            </w:r>
          </w:p>
          <w:p w:rsidR="00E10E68" w:rsidRDefault="00E10E68" w:rsidP="00E10E68">
            <w:pPr>
              <w:ind w:firstLine="400"/>
              <w:jc w:val="both"/>
              <w:rPr>
                <w:color w:val="000000"/>
                <w:sz w:val="22"/>
                <w:szCs w:val="22"/>
              </w:rPr>
            </w:pPr>
            <w:r>
              <w:rPr>
                <w:color w:val="000000"/>
                <w:sz w:val="22"/>
                <w:szCs w:val="22"/>
              </w:rPr>
              <w:t>2</w:t>
            </w:r>
            <w:r w:rsidRPr="00E6370E">
              <w:rPr>
                <w:color w:val="000000"/>
                <w:sz w:val="22"/>
                <w:szCs w:val="22"/>
              </w:rPr>
              <w:t xml:space="preserve">. Не </w:t>
            </w:r>
            <w:r>
              <w:rPr>
                <w:color w:val="000000"/>
                <w:sz w:val="22"/>
                <w:szCs w:val="22"/>
              </w:rPr>
              <w:t>рассматриваются в качестве дохода физического лица:</w:t>
            </w:r>
          </w:p>
          <w:p w:rsidR="000C06BC" w:rsidRDefault="00E6370E" w:rsidP="00E6370E">
            <w:pPr>
              <w:ind w:firstLine="400"/>
              <w:jc w:val="both"/>
              <w:rPr>
                <w:color w:val="000000"/>
                <w:sz w:val="22"/>
                <w:szCs w:val="22"/>
              </w:rPr>
            </w:pPr>
            <w:r>
              <w:rPr>
                <w:color w:val="000000"/>
                <w:sz w:val="22"/>
                <w:szCs w:val="22"/>
              </w:rPr>
              <w:t>………</w:t>
            </w:r>
          </w:p>
          <w:p w:rsidR="00141C9C" w:rsidRDefault="00141C9C" w:rsidP="00E6370E">
            <w:pPr>
              <w:ind w:firstLine="400"/>
              <w:jc w:val="both"/>
              <w:rPr>
                <w:color w:val="000000"/>
                <w:sz w:val="22"/>
                <w:szCs w:val="22"/>
              </w:rPr>
            </w:pPr>
            <w:r>
              <w:rPr>
                <w:color w:val="000000"/>
                <w:sz w:val="22"/>
                <w:szCs w:val="22"/>
              </w:rPr>
              <w:t>9) расходы работодателя, связанные с доставкой работников от места их жительства (пребывания) в Республике Казахстан до места работы и обратно;</w:t>
            </w:r>
          </w:p>
          <w:p w:rsidR="00605720" w:rsidRDefault="00605720" w:rsidP="00E6370E">
            <w:pPr>
              <w:ind w:firstLine="400"/>
              <w:jc w:val="both"/>
              <w:rPr>
                <w:color w:val="000000"/>
                <w:sz w:val="22"/>
                <w:szCs w:val="22"/>
              </w:rPr>
            </w:pPr>
          </w:p>
          <w:p w:rsidR="00605720" w:rsidRDefault="00605720" w:rsidP="00E6370E">
            <w:pPr>
              <w:ind w:firstLine="400"/>
              <w:jc w:val="both"/>
              <w:rPr>
                <w:color w:val="000000"/>
                <w:sz w:val="22"/>
                <w:szCs w:val="22"/>
              </w:rPr>
            </w:pPr>
          </w:p>
          <w:p w:rsidR="00605720" w:rsidRDefault="00605720" w:rsidP="00E6370E">
            <w:pPr>
              <w:ind w:firstLine="400"/>
              <w:jc w:val="both"/>
              <w:rPr>
                <w:color w:val="000000"/>
                <w:sz w:val="22"/>
                <w:szCs w:val="22"/>
              </w:rPr>
            </w:pPr>
          </w:p>
          <w:p w:rsidR="00605720" w:rsidRDefault="00605720" w:rsidP="00E6370E">
            <w:pPr>
              <w:ind w:firstLine="400"/>
              <w:jc w:val="both"/>
              <w:rPr>
                <w:color w:val="000000"/>
                <w:sz w:val="22"/>
                <w:szCs w:val="22"/>
              </w:rPr>
            </w:pPr>
          </w:p>
          <w:p w:rsidR="00605720" w:rsidRDefault="00605720" w:rsidP="00E6370E">
            <w:pPr>
              <w:ind w:firstLine="400"/>
              <w:jc w:val="both"/>
              <w:rPr>
                <w:color w:val="000000"/>
                <w:sz w:val="22"/>
                <w:szCs w:val="22"/>
              </w:rPr>
            </w:pPr>
          </w:p>
          <w:p w:rsidR="00605720" w:rsidRDefault="00605720" w:rsidP="00E6370E">
            <w:pPr>
              <w:ind w:firstLine="400"/>
              <w:jc w:val="both"/>
              <w:rPr>
                <w:b/>
                <w:bCs/>
                <w:sz w:val="22"/>
                <w:szCs w:val="22"/>
              </w:rPr>
            </w:pPr>
            <w:r>
              <w:rPr>
                <w:color w:val="000000"/>
                <w:sz w:val="22"/>
                <w:szCs w:val="22"/>
              </w:rPr>
              <w:t>…….</w:t>
            </w:r>
          </w:p>
        </w:tc>
        <w:tc>
          <w:tcPr>
            <w:tcW w:w="3745" w:type="dxa"/>
          </w:tcPr>
          <w:p w:rsidR="00353A85" w:rsidRDefault="00353A85" w:rsidP="00E10E68">
            <w:pPr>
              <w:ind w:firstLine="400"/>
              <w:jc w:val="both"/>
              <w:rPr>
                <w:sz w:val="22"/>
                <w:szCs w:val="22"/>
              </w:rPr>
            </w:pPr>
            <w:r>
              <w:rPr>
                <w:sz w:val="22"/>
                <w:szCs w:val="22"/>
              </w:rPr>
              <w:t>Ввести с 1 января 2018 года.</w:t>
            </w:r>
          </w:p>
          <w:p w:rsidR="000C06BC" w:rsidRPr="00141C9C" w:rsidRDefault="00141C9C" w:rsidP="00E10E68">
            <w:pPr>
              <w:ind w:firstLine="400"/>
              <w:jc w:val="both"/>
              <w:rPr>
                <w:sz w:val="22"/>
                <w:szCs w:val="22"/>
              </w:rPr>
            </w:pPr>
            <w:r w:rsidRPr="00141C9C">
              <w:rPr>
                <w:sz w:val="22"/>
                <w:szCs w:val="22"/>
              </w:rPr>
              <w:t>Предлагается исключить обязательное условие заключения договора на оказание услуг по доставке работников</w:t>
            </w:r>
            <w:r>
              <w:rPr>
                <w:sz w:val="22"/>
                <w:szCs w:val="22"/>
              </w:rPr>
              <w:t>, т.к. многие компании собственными средствами самостоятельно доставляют работников до работы и обратно, кроме того при работе вахтовым методом многие работники добираются жд и др. транспортом, расходы по которым возмещаются работодателем</w:t>
            </w:r>
          </w:p>
        </w:tc>
        <w:tc>
          <w:tcPr>
            <w:tcW w:w="1276" w:type="dxa"/>
          </w:tcPr>
          <w:p w:rsidR="000C06BC" w:rsidRDefault="00F108EF" w:rsidP="00441AE6">
            <w:pPr>
              <w:widowControl w:val="0"/>
              <w:suppressAutoHyphens/>
              <w:contextualSpacing/>
              <w:jc w:val="center"/>
              <w:rPr>
                <w:sz w:val="22"/>
                <w:szCs w:val="22"/>
              </w:rPr>
            </w:pPr>
            <w:r w:rsidRPr="00F108EF">
              <w:rPr>
                <w:sz w:val="22"/>
                <w:szCs w:val="22"/>
              </w:rPr>
              <w:t>Казахмыс</w:t>
            </w:r>
          </w:p>
          <w:p w:rsidR="00EB50E4" w:rsidRDefault="00EB50E4" w:rsidP="00441AE6">
            <w:pPr>
              <w:widowControl w:val="0"/>
              <w:suppressAutoHyphens/>
              <w:contextualSpacing/>
              <w:jc w:val="center"/>
              <w:rPr>
                <w:sz w:val="22"/>
                <w:szCs w:val="22"/>
              </w:rPr>
            </w:pPr>
          </w:p>
          <w:p w:rsidR="00E56FDD" w:rsidRPr="00F108EF" w:rsidRDefault="00E56FDD" w:rsidP="00441AE6">
            <w:pPr>
              <w:widowControl w:val="0"/>
              <w:suppressAutoHyphens/>
              <w:contextualSpacing/>
              <w:jc w:val="center"/>
              <w:rPr>
                <w:sz w:val="22"/>
                <w:szCs w:val="22"/>
              </w:rPr>
            </w:pPr>
            <w:r w:rsidRPr="00EB50E4">
              <w:rPr>
                <w:sz w:val="22"/>
                <w:szCs w:val="22"/>
                <w:highlight w:val="yellow"/>
              </w:rPr>
              <w:t>ИПН</w:t>
            </w:r>
          </w:p>
        </w:tc>
      </w:tr>
      <w:tr w:rsidR="00605736" w:rsidRPr="00EA22B8" w:rsidTr="00CC6E8E">
        <w:tc>
          <w:tcPr>
            <w:tcW w:w="675" w:type="dxa"/>
          </w:tcPr>
          <w:p w:rsidR="00605736" w:rsidRDefault="00605736" w:rsidP="00605736">
            <w:pPr>
              <w:pStyle w:val="a4"/>
              <w:numPr>
                <w:ilvl w:val="0"/>
                <w:numId w:val="10"/>
              </w:numPr>
              <w:contextualSpacing/>
              <w:jc w:val="both"/>
              <w:rPr>
                <w:rStyle w:val="s1"/>
                <w:b w:val="0"/>
                <w:sz w:val="22"/>
                <w:szCs w:val="22"/>
                <w:lang w:val="en-US"/>
              </w:rPr>
            </w:pPr>
          </w:p>
        </w:tc>
        <w:tc>
          <w:tcPr>
            <w:tcW w:w="1134" w:type="dxa"/>
          </w:tcPr>
          <w:p w:rsidR="00605736" w:rsidRPr="00036DE9" w:rsidRDefault="00605736" w:rsidP="00605736">
            <w:pPr>
              <w:jc w:val="both"/>
              <w:rPr>
                <w:rFonts w:eastAsiaTheme="minorEastAsia"/>
                <w:sz w:val="24"/>
                <w:szCs w:val="24"/>
              </w:rPr>
            </w:pPr>
            <w:r w:rsidRPr="00036DE9">
              <w:rPr>
                <w:rFonts w:eastAsiaTheme="minorEastAsia"/>
                <w:sz w:val="24"/>
                <w:szCs w:val="24"/>
              </w:rPr>
              <w:t>Подп. 9</w:t>
            </w:r>
          </w:p>
          <w:p w:rsidR="00605736" w:rsidRPr="00036DE9" w:rsidRDefault="00605736" w:rsidP="00605736">
            <w:pPr>
              <w:jc w:val="both"/>
              <w:rPr>
                <w:rFonts w:eastAsiaTheme="minorEastAsia"/>
                <w:sz w:val="24"/>
                <w:szCs w:val="24"/>
              </w:rPr>
            </w:pPr>
            <w:r w:rsidRPr="00036DE9">
              <w:rPr>
                <w:rFonts w:eastAsiaTheme="minorEastAsia"/>
                <w:sz w:val="24"/>
                <w:szCs w:val="24"/>
              </w:rPr>
              <w:t>П. 2</w:t>
            </w:r>
          </w:p>
          <w:p w:rsidR="00605736" w:rsidRPr="00036DE9" w:rsidRDefault="00605736" w:rsidP="00605736">
            <w:pPr>
              <w:jc w:val="both"/>
              <w:rPr>
                <w:rFonts w:eastAsiaTheme="minorEastAsia"/>
                <w:sz w:val="24"/>
                <w:szCs w:val="24"/>
              </w:rPr>
            </w:pPr>
            <w:r w:rsidRPr="00036DE9">
              <w:rPr>
                <w:rFonts w:eastAsiaTheme="minorEastAsia"/>
                <w:sz w:val="24"/>
                <w:szCs w:val="24"/>
              </w:rPr>
              <w:t>Ст. 319</w:t>
            </w:r>
          </w:p>
        </w:tc>
        <w:tc>
          <w:tcPr>
            <w:tcW w:w="4111" w:type="dxa"/>
          </w:tcPr>
          <w:p w:rsidR="00605736" w:rsidRPr="00036DE9" w:rsidRDefault="00605736" w:rsidP="00605736">
            <w:pPr>
              <w:spacing w:before="120" w:after="120"/>
              <w:rPr>
                <w:b/>
                <w:sz w:val="24"/>
                <w:szCs w:val="24"/>
              </w:rPr>
            </w:pPr>
            <w:r w:rsidRPr="00036DE9">
              <w:rPr>
                <w:b/>
                <w:sz w:val="24"/>
                <w:szCs w:val="24"/>
              </w:rPr>
              <w:t>Статья 319. Годовой доход физического лица</w:t>
            </w:r>
          </w:p>
          <w:p w:rsidR="00605736" w:rsidRPr="00036DE9" w:rsidRDefault="00605736" w:rsidP="00605736">
            <w:pPr>
              <w:spacing w:before="120" w:after="120"/>
              <w:jc w:val="both"/>
              <w:rPr>
                <w:sz w:val="24"/>
                <w:szCs w:val="24"/>
              </w:rPr>
            </w:pPr>
            <w:r w:rsidRPr="00036DE9">
              <w:rPr>
                <w:sz w:val="24"/>
                <w:szCs w:val="24"/>
              </w:rPr>
              <w:t>2. Не рассматриваются в качестве дохода физического лица:</w:t>
            </w:r>
          </w:p>
          <w:p w:rsidR="00605736" w:rsidRPr="00036DE9" w:rsidRDefault="00605736" w:rsidP="00605736">
            <w:pPr>
              <w:spacing w:before="120" w:after="120"/>
              <w:jc w:val="both"/>
              <w:rPr>
                <w:b/>
                <w:sz w:val="24"/>
                <w:szCs w:val="24"/>
              </w:rPr>
            </w:pPr>
            <w:r w:rsidRPr="00036DE9">
              <w:rPr>
                <w:sz w:val="24"/>
                <w:szCs w:val="24"/>
              </w:rPr>
              <w:t xml:space="preserve">9) расходы работодателя, связанные с доставкой работников от места их жительства (пребывания) в Республике Казахстан до места работы и обратно, </w:t>
            </w:r>
            <w:r w:rsidRPr="00036DE9">
              <w:rPr>
                <w:b/>
                <w:sz w:val="24"/>
                <w:szCs w:val="24"/>
              </w:rPr>
              <w:t xml:space="preserve">при соблюдении </w:t>
            </w:r>
            <w:r w:rsidRPr="00036DE9">
              <w:rPr>
                <w:b/>
                <w:sz w:val="24"/>
                <w:szCs w:val="24"/>
              </w:rPr>
              <w:lastRenderedPageBreak/>
              <w:t>условия заключения работодателем с контрагентом договора на оказание услуг по доставке работников до места работы и обратно;</w:t>
            </w:r>
          </w:p>
          <w:p w:rsidR="00605736" w:rsidRPr="00036DE9" w:rsidRDefault="00605736" w:rsidP="00605736">
            <w:pPr>
              <w:jc w:val="both"/>
              <w:rPr>
                <w:bCs/>
                <w:sz w:val="24"/>
                <w:szCs w:val="24"/>
              </w:rPr>
            </w:pPr>
          </w:p>
        </w:tc>
        <w:tc>
          <w:tcPr>
            <w:tcW w:w="4111" w:type="dxa"/>
          </w:tcPr>
          <w:p w:rsidR="00605736" w:rsidRPr="00036DE9" w:rsidRDefault="00605736" w:rsidP="00605736">
            <w:pPr>
              <w:spacing w:before="120" w:after="120"/>
              <w:rPr>
                <w:b/>
                <w:sz w:val="24"/>
                <w:szCs w:val="24"/>
              </w:rPr>
            </w:pPr>
            <w:r w:rsidRPr="00036DE9">
              <w:rPr>
                <w:b/>
                <w:sz w:val="24"/>
                <w:szCs w:val="24"/>
              </w:rPr>
              <w:lastRenderedPageBreak/>
              <w:t>Статья 319. Годовой доход физического лица</w:t>
            </w:r>
          </w:p>
          <w:p w:rsidR="00605736" w:rsidRPr="00036DE9" w:rsidRDefault="00605736" w:rsidP="00605736">
            <w:pPr>
              <w:spacing w:before="120" w:after="120"/>
              <w:jc w:val="both"/>
              <w:rPr>
                <w:sz w:val="24"/>
                <w:szCs w:val="24"/>
              </w:rPr>
            </w:pPr>
            <w:r w:rsidRPr="00036DE9">
              <w:rPr>
                <w:sz w:val="24"/>
                <w:szCs w:val="24"/>
              </w:rPr>
              <w:t>2. Не рассматриваются в качестве дохода физического лица:</w:t>
            </w:r>
          </w:p>
          <w:p w:rsidR="00605736" w:rsidRPr="00036DE9" w:rsidRDefault="00605736" w:rsidP="00605736">
            <w:pPr>
              <w:pStyle w:val="HTML"/>
              <w:shd w:val="clear" w:color="auto" w:fill="FFFFFF"/>
              <w:jc w:val="both"/>
              <w:rPr>
                <w:rFonts w:ascii="Times New Roman" w:hAnsi="Times New Roman" w:cs="Times New Roman"/>
                <w:sz w:val="24"/>
                <w:szCs w:val="24"/>
              </w:rPr>
            </w:pPr>
            <w:r w:rsidRPr="00036DE9">
              <w:rPr>
                <w:rFonts w:ascii="Times New Roman" w:hAnsi="Times New Roman" w:cs="Times New Roman"/>
                <w:sz w:val="24"/>
                <w:szCs w:val="24"/>
              </w:rPr>
              <w:t>9) расходы, связанные с доставкой работников от места их жительства (пребывания) в Республике Казахстан до места работы и обратно;</w:t>
            </w:r>
          </w:p>
          <w:p w:rsidR="00605736" w:rsidRPr="00036DE9" w:rsidRDefault="00605736" w:rsidP="00605736">
            <w:pPr>
              <w:spacing w:before="120" w:after="120"/>
              <w:jc w:val="both"/>
              <w:rPr>
                <w:b/>
                <w:bCs/>
                <w:sz w:val="24"/>
                <w:szCs w:val="24"/>
              </w:rPr>
            </w:pPr>
          </w:p>
        </w:tc>
        <w:tc>
          <w:tcPr>
            <w:tcW w:w="3745" w:type="dxa"/>
          </w:tcPr>
          <w:p w:rsidR="00605736" w:rsidRPr="00036DE9" w:rsidRDefault="00605736" w:rsidP="00605736">
            <w:pPr>
              <w:spacing w:before="120" w:after="120"/>
              <w:jc w:val="both"/>
              <w:rPr>
                <w:sz w:val="24"/>
                <w:szCs w:val="24"/>
              </w:rPr>
            </w:pPr>
            <w:r w:rsidRPr="00036DE9">
              <w:rPr>
                <w:rFonts w:eastAsiaTheme="minorEastAsia"/>
                <w:bCs/>
                <w:sz w:val="24"/>
                <w:szCs w:val="24"/>
              </w:rPr>
              <w:lastRenderedPageBreak/>
              <w:t>Предлагаемое изменение является предыдущей редакцией нормы по доставке работников, которое  не ограничивалось условием «</w:t>
            </w:r>
            <w:r w:rsidRPr="00036DE9">
              <w:rPr>
                <w:b/>
                <w:sz w:val="24"/>
                <w:szCs w:val="24"/>
              </w:rPr>
              <w:t>заключения работодателем с контрагентом договора на оказание услуг по доставке работников до места работы и обратно</w:t>
            </w:r>
            <w:r w:rsidRPr="00036DE9">
              <w:rPr>
                <w:sz w:val="24"/>
                <w:szCs w:val="24"/>
              </w:rPr>
              <w:t>».</w:t>
            </w:r>
          </w:p>
          <w:p w:rsidR="00605736" w:rsidRPr="00036DE9" w:rsidRDefault="00605736" w:rsidP="00605736">
            <w:pPr>
              <w:spacing w:before="120" w:after="120"/>
              <w:jc w:val="both"/>
              <w:rPr>
                <w:sz w:val="24"/>
                <w:szCs w:val="24"/>
              </w:rPr>
            </w:pPr>
            <w:r w:rsidRPr="00036DE9">
              <w:rPr>
                <w:sz w:val="24"/>
                <w:szCs w:val="24"/>
              </w:rPr>
              <w:t xml:space="preserve">ИЦА, в связи опасностью работ </w:t>
            </w:r>
            <w:r w:rsidRPr="00036DE9">
              <w:rPr>
                <w:sz w:val="24"/>
                <w:szCs w:val="24"/>
              </w:rPr>
              <w:lastRenderedPageBreak/>
              <w:t xml:space="preserve">на трубопроводах с высоким давлением газа, предъявляет высокие требования к квалификации обслуживающего его персонала, которым не может отвечать достаточное количество местных кадров. </w:t>
            </w:r>
          </w:p>
          <w:p w:rsidR="00605736" w:rsidRPr="00036DE9" w:rsidRDefault="00605736" w:rsidP="00605736">
            <w:pPr>
              <w:spacing w:before="120" w:after="120"/>
              <w:jc w:val="both"/>
              <w:rPr>
                <w:sz w:val="24"/>
                <w:szCs w:val="24"/>
              </w:rPr>
            </w:pPr>
            <w:r w:rsidRPr="00036DE9">
              <w:rPr>
                <w:sz w:val="24"/>
                <w:szCs w:val="24"/>
              </w:rPr>
              <w:t xml:space="preserve">Поэтому ИЦА вынуждено принимать жителей из разных населенных пунктов, отдаленных от места работы, и возмещать им расходы на проезд. </w:t>
            </w:r>
          </w:p>
          <w:p w:rsidR="00605736" w:rsidRPr="00036DE9" w:rsidRDefault="00605736" w:rsidP="00605736">
            <w:pPr>
              <w:spacing w:before="120" w:after="120"/>
              <w:jc w:val="both"/>
              <w:rPr>
                <w:sz w:val="24"/>
                <w:szCs w:val="24"/>
              </w:rPr>
            </w:pPr>
            <w:r w:rsidRPr="00036DE9">
              <w:rPr>
                <w:sz w:val="24"/>
                <w:szCs w:val="24"/>
              </w:rPr>
              <w:t xml:space="preserve">При этом, заключение договоров с перевозчиками нецелесообразно, ввиду множества и разбросанности населенных пунктов (мест жительства работников) и способов проезда работников до места работы, и вытекающего из этого роста трудозатрат по обеспечению работников билетами и дальнейшему учету расчетов с перевозчиками. </w:t>
            </w:r>
          </w:p>
          <w:p w:rsidR="00605736" w:rsidRPr="00036DE9" w:rsidRDefault="00605736" w:rsidP="00605736">
            <w:pPr>
              <w:spacing w:before="120" w:after="120"/>
              <w:jc w:val="both"/>
              <w:rPr>
                <w:sz w:val="24"/>
                <w:szCs w:val="24"/>
              </w:rPr>
            </w:pPr>
            <w:r w:rsidRPr="00036DE9">
              <w:rPr>
                <w:sz w:val="24"/>
                <w:szCs w:val="24"/>
              </w:rPr>
              <w:t xml:space="preserve">Из-за действующей редакции обсуждаемой нормы соответствующая стоимость билетов по проезду работников подлежат признанию в качестве доходов работников в натуральной форме (п. 4 ст. 323 НК), вследствие чего и работник </w:t>
            </w:r>
            <w:r w:rsidRPr="00036DE9">
              <w:rPr>
                <w:sz w:val="24"/>
                <w:szCs w:val="24"/>
              </w:rPr>
              <w:lastRenderedPageBreak/>
              <w:t>и работодатель несут следующие расходы:</w:t>
            </w:r>
          </w:p>
          <w:p w:rsidR="00605736" w:rsidRPr="00036DE9" w:rsidRDefault="00605736" w:rsidP="00605736">
            <w:pPr>
              <w:pStyle w:val="a7"/>
              <w:numPr>
                <w:ilvl w:val="0"/>
                <w:numId w:val="11"/>
              </w:numPr>
              <w:spacing w:before="120" w:after="120"/>
              <w:jc w:val="both"/>
              <w:rPr>
                <w:sz w:val="24"/>
                <w:szCs w:val="24"/>
              </w:rPr>
            </w:pPr>
            <w:r w:rsidRPr="00036DE9">
              <w:rPr>
                <w:sz w:val="24"/>
                <w:szCs w:val="24"/>
              </w:rPr>
              <w:t>Работник – по уплате ОПВ и ИПН;</w:t>
            </w:r>
          </w:p>
          <w:p w:rsidR="00605736" w:rsidRPr="00036DE9" w:rsidRDefault="00605736" w:rsidP="00605736">
            <w:pPr>
              <w:pStyle w:val="a7"/>
              <w:numPr>
                <w:ilvl w:val="0"/>
                <w:numId w:val="11"/>
              </w:numPr>
              <w:spacing w:before="120" w:after="120"/>
              <w:jc w:val="both"/>
              <w:rPr>
                <w:rFonts w:eastAsiaTheme="minorEastAsia"/>
                <w:bCs/>
                <w:sz w:val="24"/>
                <w:szCs w:val="24"/>
              </w:rPr>
            </w:pPr>
            <w:r w:rsidRPr="00036DE9">
              <w:rPr>
                <w:sz w:val="24"/>
                <w:szCs w:val="24"/>
              </w:rPr>
              <w:t>Работодатель – по уплате Социального налога.</w:t>
            </w:r>
          </w:p>
        </w:tc>
        <w:tc>
          <w:tcPr>
            <w:tcW w:w="1276" w:type="dxa"/>
          </w:tcPr>
          <w:p w:rsidR="00605736" w:rsidRPr="00036DE9" w:rsidRDefault="00605736" w:rsidP="00605736">
            <w:pPr>
              <w:contextualSpacing/>
              <w:jc w:val="both"/>
              <w:rPr>
                <w:b/>
                <w:sz w:val="24"/>
                <w:szCs w:val="24"/>
              </w:rPr>
            </w:pPr>
            <w:r w:rsidRPr="00036DE9">
              <w:rPr>
                <w:b/>
                <w:sz w:val="24"/>
                <w:szCs w:val="24"/>
              </w:rPr>
              <w:lastRenderedPageBreak/>
              <w:t>АО Интергаз Центральная Азия»</w:t>
            </w:r>
          </w:p>
          <w:p w:rsidR="00605736" w:rsidRPr="00036DE9" w:rsidRDefault="00605736" w:rsidP="00605736">
            <w:pPr>
              <w:contextualSpacing/>
              <w:jc w:val="both"/>
              <w:rPr>
                <w:b/>
                <w:sz w:val="24"/>
                <w:szCs w:val="24"/>
              </w:rPr>
            </w:pPr>
          </w:p>
        </w:tc>
      </w:tr>
      <w:tr w:rsidR="00605736" w:rsidRPr="00EA22B8" w:rsidTr="00CC6E8E">
        <w:tc>
          <w:tcPr>
            <w:tcW w:w="675" w:type="dxa"/>
          </w:tcPr>
          <w:p w:rsidR="00605736" w:rsidRDefault="00605736" w:rsidP="00605736">
            <w:pPr>
              <w:pStyle w:val="a4"/>
              <w:numPr>
                <w:ilvl w:val="0"/>
                <w:numId w:val="10"/>
              </w:numPr>
              <w:contextualSpacing/>
              <w:jc w:val="both"/>
              <w:rPr>
                <w:rStyle w:val="s1"/>
                <w:b w:val="0"/>
                <w:sz w:val="22"/>
                <w:szCs w:val="22"/>
                <w:lang w:val="en-US"/>
              </w:rPr>
            </w:pPr>
          </w:p>
        </w:tc>
        <w:tc>
          <w:tcPr>
            <w:tcW w:w="1134" w:type="dxa"/>
          </w:tcPr>
          <w:p w:rsidR="00605736" w:rsidRPr="00946611" w:rsidRDefault="00605736" w:rsidP="00605736">
            <w:pPr>
              <w:jc w:val="center"/>
            </w:pPr>
            <w:r w:rsidRPr="00946611">
              <w:t>Статья 319</w:t>
            </w:r>
          </w:p>
        </w:tc>
        <w:tc>
          <w:tcPr>
            <w:tcW w:w="4111" w:type="dxa"/>
          </w:tcPr>
          <w:p w:rsidR="00605736" w:rsidRPr="00F115DB" w:rsidRDefault="00605736" w:rsidP="00605736">
            <w:pPr>
              <w:ind w:firstLine="397"/>
            </w:pPr>
            <w:bookmarkStart w:id="3" w:name="SUB3190210"/>
            <w:bookmarkEnd w:id="3"/>
            <w:r w:rsidRPr="00F115DB">
              <w:t>Статья 319</w:t>
            </w:r>
          </w:p>
          <w:p w:rsidR="00605736" w:rsidRPr="00F115DB" w:rsidRDefault="00605736" w:rsidP="00605736">
            <w:pPr>
              <w:ind w:firstLine="397"/>
            </w:pPr>
            <w:r w:rsidRPr="00F115DB">
              <w:t>2. Не рассматриваются в качестве дохода физического лица:</w:t>
            </w:r>
          </w:p>
          <w:p w:rsidR="00605736" w:rsidRPr="00F115DB" w:rsidRDefault="00605736" w:rsidP="00605736">
            <w:pPr>
              <w:ind w:firstLine="397"/>
            </w:pPr>
            <w:r w:rsidRPr="00946611">
              <w:t xml:space="preserve">10) стоимость выданной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w:t>
            </w:r>
            <w:bookmarkStart w:id="4" w:name="SUB1004874174"/>
            <w:r w:rsidRPr="00946611">
              <w:fldChar w:fldCharType="begin"/>
            </w:r>
            <w:r w:rsidRPr="00946611">
              <w:instrText xml:space="preserve"> HYPERLINK "https://online.zakon.kz/Document/?doc_id=38910832" \l "sub_id=1820200" \t "_parent" </w:instrText>
            </w:r>
            <w:r w:rsidRPr="00946611">
              <w:fldChar w:fldCharType="separate"/>
            </w:r>
            <w:r w:rsidRPr="00F115DB">
              <w:t>законодательством</w:t>
            </w:r>
            <w:r w:rsidRPr="00946611">
              <w:fldChar w:fldCharType="end"/>
            </w:r>
            <w:bookmarkEnd w:id="4"/>
            <w:r w:rsidRPr="00946611">
              <w:t xml:space="preserve"> Республики Казахстан;</w:t>
            </w:r>
          </w:p>
        </w:tc>
        <w:tc>
          <w:tcPr>
            <w:tcW w:w="4111" w:type="dxa"/>
          </w:tcPr>
          <w:p w:rsidR="00605736" w:rsidRDefault="00605736" w:rsidP="00605736">
            <w:pPr>
              <w:shd w:val="clear" w:color="auto" w:fill="FFFFFF"/>
              <w:textAlignment w:val="baseline"/>
            </w:pPr>
            <w:r w:rsidRPr="00F115DB">
              <w:t>Статья 319</w:t>
            </w:r>
          </w:p>
          <w:p w:rsidR="00605736" w:rsidRPr="00F115DB" w:rsidRDefault="00605736" w:rsidP="00605736">
            <w:pPr>
              <w:shd w:val="clear" w:color="auto" w:fill="FFFFFF"/>
              <w:textAlignment w:val="baseline"/>
            </w:pPr>
          </w:p>
          <w:p w:rsidR="00605736" w:rsidRDefault="00605736" w:rsidP="00605736">
            <w:pPr>
              <w:shd w:val="clear" w:color="auto" w:fill="FFFFFF"/>
              <w:textAlignment w:val="baseline"/>
            </w:pPr>
            <w:r w:rsidRPr="00F115DB">
              <w:t>2. Не рассматриваются в качестве дохода физического лица:</w:t>
            </w:r>
          </w:p>
          <w:p w:rsidR="00605736" w:rsidRPr="00F115DB" w:rsidRDefault="00605736" w:rsidP="00605736">
            <w:pPr>
              <w:shd w:val="clear" w:color="auto" w:fill="FFFFFF"/>
              <w:textAlignment w:val="baseline"/>
            </w:pPr>
          </w:p>
          <w:p w:rsidR="00605736" w:rsidRPr="00946611" w:rsidRDefault="00605736" w:rsidP="00605736">
            <w:pPr>
              <w:shd w:val="clear" w:color="auto" w:fill="FFFFFF"/>
              <w:textAlignment w:val="baseline"/>
              <w:rPr>
                <w:color w:val="000000"/>
              </w:rPr>
            </w:pPr>
            <w:r w:rsidRPr="00F115DB">
              <w:t xml:space="preserve">10) стоимость выданной </w:t>
            </w:r>
            <w:r w:rsidRPr="00F115DB">
              <w:rPr>
                <w:b/>
              </w:rPr>
              <w:t>форменной одежды</w:t>
            </w:r>
            <w:r w:rsidRPr="00F115DB">
              <w:t xml:space="preserve"> и специальной одежды, специальной обуви, в том числе их ремонта, 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w:t>
            </w:r>
            <w:hyperlink r:id="rId9" w:anchor="sub_id=1820200" w:tgtFrame="_parent" w:history="1">
              <w:r w:rsidRPr="00F115DB">
                <w:t>законодательством</w:t>
              </w:r>
            </w:hyperlink>
            <w:r w:rsidRPr="00F115DB">
              <w:t xml:space="preserve"> Республики Казахстан;</w:t>
            </w:r>
          </w:p>
        </w:tc>
        <w:tc>
          <w:tcPr>
            <w:tcW w:w="3745" w:type="dxa"/>
          </w:tcPr>
          <w:p w:rsidR="00605736" w:rsidRPr="00946611" w:rsidRDefault="00605736" w:rsidP="00605736">
            <w:pPr>
              <w:pStyle w:val="j13"/>
              <w:shd w:val="clear" w:color="auto" w:fill="FFFFFF"/>
              <w:spacing w:before="0" w:beforeAutospacing="0" w:after="0" w:afterAutospacing="0"/>
              <w:ind w:firstLine="360"/>
              <w:jc w:val="both"/>
              <w:textAlignment w:val="baseline"/>
              <w:rPr>
                <w:sz w:val="22"/>
                <w:szCs w:val="22"/>
              </w:rPr>
            </w:pPr>
            <w:r w:rsidRPr="00946611">
              <w:rPr>
                <w:sz w:val="22"/>
                <w:szCs w:val="22"/>
              </w:rPr>
              <w:t>Просим добавить слова форменной одежды в пп.10) п.2 статьи 319.</w:t>
            </w:r>
          </w:p>
          <w:p w:rsidR="00605736" w:rsidRPr="00946611" w:rsidRDefault="00605736" w:rsidP="00605736">
            <w:pPr>
              <w:pStyle w:val="j13"/>
              <w:shd w:val="clear" w:color="auto" w:fill="FFFFFF"/>
              <w:spacing w:before="0" w:beforeAutospacing="0" w:after="0" w:afterAutospacing="0"/>
              <w:ind w:firstLine="360"/>
              <w:jc w:val="both"/>
              <w:textAlignment w:val="baseline"/>
              <w:rPr>
                <w:rFonts w:eastAsiaTheme="minorEastAsia"/>
                <w:sz w:val="22"/>
                <w:szCs w:val="22"/>
              </w:rPr>
            </w:pPr>
            <w:r w:rsidRPr="00946611">
              <w:rPr>
                <w:sz w:val="22"/>
                <w:szCs w:val="22"/>
              </w:rPr>
              <w:t xml:space="preserve">В некоторых отраслях производственной деятельности законодательством Республики Казахстан </w:t>
            </w:r>
            <w:r w:rsidRPr="00946611">
              <w:rPr>
                <w:rFonts w:eastAsiaTheme="minorEastAsia"/>
                <w:sz w:val="22"/>
                <w:szCs w:val="22"/>
              </w:rPr>
              <w:t xml:space="preserve">устанавливаются перечень видов форменной одежды, правила ношения и их нормы и виды должностей имеющих право на их ношение. </w:t>
            </w:r>
          </w:p>
          <w:p w:rsidR="00605736" w:rsidRPr="00946611" w:rsidRDefault="00605736" w:rsidP="00605736">
            <w:pPr>
              <w:pStyle w:val="j13"/>
              <w:shd w:val="clear" w:color="auto" w:fill="FFFFFF"/>
              <w:spacing w:before="0" w:beforeAutospacing="0" w:after="0" w:afterAutospacing="0"/>
              <w:ind w:firstLine="360"/>
              <w:jc w:val="both"/>
              <w:textAlignment w:val="baseline"/>
              <w:rPr>
                <w:sz w:val="22"/>
                <w:szCs w:val="22"/>
              </w:rPr>
            </w:pPr>
            <w:r w:rsidRPr="00946611">
              <w:rPr>
                <w:rFonts w:eastAsiaTheme="minorEastAsia"/>
                <w:sz w:val="22"/>
                <w:szCs w:val="22"/>
              </w:rPr>
              <w:t>По сути ношение форменной одежды не является доходом физического лица, а вызвано требованиями законодательства и выполнением трудовых обязанностей сотрудниками в операционной деятельности.</w:t>
            </w:r>
          </w:p>
        </w:tc>
        <w:tc>
          <w:tcPr>
            <w:tcW w:w="1276" w:type="dxa"/>
          </w:tcPr>
          <w:p w:rsidR="00605736" w:rsidRPr="00C821F4" w:rsidRDefault="00605736" w:rsidP="00605736">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t>АО Эйр Астана</w:t>
            </w:r>
          </w:p>
        </w:tc>
      </w:tr>
      <w:tr w:rsidR="00605736" w:rsidRPr="00EA22B8" w:rsidTr="00CC6E8E">
        <w:tc>
          <w:tcPr>
            <w:tcW w:w="675" w:type="dxa"/>
          </w:tcPr>
          <w:p w:rsidR="00605736" w:rsidRPr="008749D1" w:rsidRDefault="00605736" w:rsidP="00605736">
            <w:pPr>
              <w:pStyle w:val="a4"/>
              <w:numPr>
                <w:ilvl w:val="0"/>
                <w:numId w:val="10"/>
              </w:numPr>
              <w:contextualSpacing/>
              <w:jc w:val="both"/>
              <w:rPr>
                <w:rStyle w:val="s1"/>
                <w:b w:val="0"/>
                <w:sz w:val="22"/>
                <w:szCs w:val="22"/>
                <w:lang w:val="en-US"/>
              </w:rPr>
            </w:pPr>
          </w:p>
        </w:tc>
        <w:tc>
          <w:tcPr>
            <w:tcW w:w="1134" w:type="dxa"/>
          </w:tcPr>
          <w:p w:rsidR="00605736" w:rsidRPr="00F06E15" w:rsidRDefault="00605736" w:rsidP="00605736">
            <w:pPr>
              <w:contextualSpacing/>
              <w:jc w:val="center"/>
              <w:rPr>
                <w:sz w:val="22"/>
                <w:szCs w:val="22"/>
              </w:rPr>
            </w:pPr>
            <w:r>
              <w:rPr>
                <w:sz w:val="22"/>
                <w:szCs w:val="22"/>
              </w:rPr>
              <w:t>пп 42) п.1 ст. 341</w:t>
            </w:r>
          </w:p>
        </w:tc>
        <w:tc>
          <w:tcPr>
            <w:tcW w:w="4111" w:type="dxa"/>
          </w:tcPr>
          <w:p w:rsidR="00605736" w:rsidRPr="00DA7EF3" w:rsidRDefault="00605736" w:rsidP="00605736">
            <w:pPr>
              <w:jc w:val="both"/>
              <w:rPr>
                <w:rStyle w:val="s0"/>
                <w:b/>
                <w:sz w:val="22"/>
                <w:szCs w:val="22"/>
              </w:rPr>
            </w:pPr>
            <w:r w:rsidRPr="00DA7EF3">
              <w:rPr>
                <w:rStyle w:val="s0"/>
                <w:b/>
                <w:sz w:val="22"/>
                <w:szCs w:val="22"/>
              </w:rPr>
              <w:t>Статья 341. Корректировка дохода</w:t>
            </w:r>
          </w:p>
          <w:p w:rsidR="00605736" w:rsidRPr="00DA7EF3" w:rsidRDefault="00605736" w:rsidP="00605736">
            <w:pPr>
              <w:pStyle w:val="a7"/>
              <w:numPr>
                <w:ilvl w:val="0"/>
                <w:numId w:val="9"/>
              </w:numPr>
              <w:ind w:left="0" w:firstLine="360"/>
              <w:jc w:val="both"/>
              <w:rPr>
                <w:rStyle w:val="s0"/>
                <w:sz w:val="22"/>
                <w:szCs w:val="22"/>
              </w:rPr>
            </w:pPr>
            <w:r w:rsidRPr="00DA7EF3">
              <w:rPr>
                <w:rStyle w:val="s0"/>
                <w:sz w:val="22"/>
                <w:szCs w:val="22"/>
              </w:rPr>
              <w:t>Из доходов физического лица, подлежащих налогообложению, исключаются следующие виды доходов (далее – корректировка дохода):</w:t>
            </w:r>
          </w:p>
          <w:p w:rsidR="00605736" w:rsidRDefault="00605736" w:rsidP="00605736">
            <w:pPr>
              <w:pStyle w:val="a7"/>
              <w:ind w:left="318"/>
              <w:jc w:val="both"/>
              <w:rPr>
                <w:rStyle w:val="s0"/>
                <w:sz w:val="22"/>
                <w:szCs w:val="22"/>
              </w:rPr>
            </w:pPr>
            <w:r>
              <w:rPr>
                <w:rStyle w:val="s0"/>
                <w:sz w:val="22"/>
                <w:szCs w:val="22"/>
              </w:rPr>
              <w:t>…….</w:t>
            </w:r>
          </w:p>
          <w:p w:rsidR="00605736" w:rsidRDefault="00605736" w:rsidP="00605736">
            <w:pPr>
              <w:pStyle w:val="a7"/>
              <w:ind w:left="34" w:firstLine="425"/>
              <w:jc w:val="both"/>
              <w:rPr>
                <w:rStyle w:val="s0"/>
                <w:sz w:val="22"/>
                <w:szCs w:val="22"/>
              </w:rPr>
            </w:pPr>
            <w:r>
              <w:rPr>
                <w:rStyle w:val="s0"/>
                <w:sz w:val="22"/>
                <w:szCs w:val="22"/>
              </w:rPr>
              <w:t xml:space="preserve">42) возмещение вреда, причиненного жизни и здоровью физического лица, в соответствии с законодательством Республики Казахстан, </w:t>
            </w:r>
            <w:r w:rsidRPr="00F57EA0">
              <w:rPr>
                <w:rStyle w:val="s0"/>
                <w:b/>
                <w:sz w:val="22"/>
                <w:szCs w:val="22"/>
              </w:rPr>
              <w:t>за исключением</w:t>
            </w:r>
            <w:r>
              <w:rPr>
                <w:rStyle w:val="s0"/>
                <w:sz w:val="22"/>
                <w:szCs w:val="22"/>
              </w:rPr>
              <w:t xml:space="preserve"> морального </w:t>
            </w:r>
            <w:r>
              <w:rPr>
                <w:rStyle w:val="s0"/>
                <w:sz w:val="22"/>
                <w:szCs w:val="22"/>
              </w:rPr>
              <w:lastRenderedPageBreak/>
              <w:t xml:space="preserve">вреда; </w:t>
            </w:r>
          </w:p>
          <w:p w:rsidR="00605736" w:rsidRPr="004830EA" w:rsidRDefault="00605736" w:rsidP="00605736">
            <w:pPr>
              <w:pStyle w:val="a7"/>
              <w:ind w:left="34" w:firstLine="425"/>
              <w:jc w:val="both"/>
              <w:rPr>
                <w:rStyle w:val="s0"/>
                <w:sz w:val="22"/>
                <w:szCs w:val="22"/>
              </w:rPr>
            </w:pPr>
            <w:r>
              <w:rPr>
                <w:rStyle w:val="s0"/>
                <w:sz w:val="22"/>
                <w:szCs w:val="22"/>
              </w:rPr>
              <w:t>…….</w:t>
            </w:r>
          </w:p>
        </w:tc>
        <w:tc>
          <w:tcPr>
            <w:tcW w:w="4111" w:type="dxa"/>
          </w:tcPr>
          <w:p w:rsidR="00605736" w:rsidRPr="00DA7EF3" w:rsidRDefault="00605736" w:rsidP="00605736">
            <w:pPr>
              <w:jc w:val="both"/>
              <w:rPr>
                <w:rStyle w:val="s0"/>
                <w:b/>
                <w:sz w:val="22"/>
                <w:szCs w:val="22"/>
              </w:rPr>
            </w:pPr>
            <w:r w:rsidRPr="00DA7EF3">
              <w:rPr>
                <w:rStyle w:val="s0"/>
                <w:b/>
                <w:sz w:val="22"/>
                <w:szCs w:val="22"/>
              </w:rPr>
              <w:lastRenderedPageBreak/>
              <w:t>Статья 341. Корректировка дохода</w:t>
            </w:r>
          </w:p>
          <w:p w:rsidR="00605736" w:rsidRPr="00F57EA0" w:rsidRDefault="00605736" w:rsidP="00605736">
            <w:pPr>
              <w:ind w:firstLine="400"/>
              <w:jc w:val="both"/>
              <w:rPr>
                <w:rStyle w:val="s0"/>
                <w:sz w:val="22"/>
                <w:szCs w:val="22"/>
              </w:rPr>
            </w:pPr>
            <w:r w:rsidRPr="00F57EA0">
              <w:rPr>
                <w:rStyle w:val="s0"/>
                <w:sz w:val="22"/>
                <w:szCs w:val="22"/>
              </w:rPr>
              <w:t>1.</w:t>
            </w:r>
            <w:r w:rsidRPr="00F57EA0">
              <w:rPr>
                <w:rStyle w:val="s0"/>
                <w:sz w:val="22"/>
                <w:szCs w:val="22"/>
              </w:rPr>
              <w:tab/>
              <w:t>Из доходов физического лица, подлежащих налогообложению, исключаются следующие виды доходов (далее – корректировка дохода):</w:t>
            </w:r>
          </w:p>
          <w:p w:rsidR="00605736" w:rsidRPr="00F57EA0" w:rsidRDefault="00605736" w:rsidP="00605736">
            <w:pPr>
              <w:ind w:firstLine="400"/>
              <w:jc w:val="both"/>
              <w:rPr>
                <w:rStyle w:val="s0"/>
                <w:sz w:val="22"/>
                <w:szCs w:val="22"/>
              </w:rPr>
            </w:pPr>
            <w:r w:rsidRPr="00F57EA0">
              <w:rPr>
                <w:rStyle w:val="s0"/>
                <w:sz w:val="22"/>
                <w:szCs w:val="22"/>
              </w:rPr>
              <w:t>…….</w:t>
            </w:r>
          </w:p>
          <w:p w:rsidR="00605736" w:rsidRPr="00F57EA0" w:rsidRDefault="00605736" w:rsidP="00605736">
            <w:pPr>
              <w:ind w:firstLine="400"/>
              <w:jc w:val="both"/>
              <w:rPr>
                <w:rStyle w:val="s0"/>
                <w:sz w:val="22"/>
                <w:szCs w:val="22"/>
              </w:rPr>
            </w:pPr>
            <w:r w:rsidRPr="00F57EA0">
              <w:rPr>
                <w:rStyle w:val="s0"/>
                <w:sz w:val="22"/>
                <w:szCs w:val="22"/>
              </w:rPr>
              <w:t xml:space="preserve">42) возмещение вреда, причиненного жизни и здоровью физического лица, в соответствии с законодательством Республики Казахстан, </w:t>
            </w:r>
            <w:r w:rsidRPr="00F57EA0">
              <w:rPr>
                <w:rStyle w:val="s0"/>
                <w:b/>
                <w:sz w:val="22"/>
                <w:szCs w:val="22"/>
              </w:rPr>
              <w:t>в том числе</w:t>
            </w:r>
            <w:r w:rsidRPr="00F57EA0">
              <w:rPr>
                <w:rStyle w:val="s0"/>
                <w:sz w:val="22"/>
                <w:szCs w:val="22"/>
              </w:rPr>
              <w:t xml:space="preserve"> морального </w:t>
            </w:r>
            <w:r w:rsidRPr="00F57EA0">
              <w:rPr>
                <w:rStyle w:val="s0"/>
                <w:sz w:val="22"/>
                <w:szCs w:val="22"/>
              </w:rPr>
              <w:lastRenderedPageBreak/>
              <w:t xml:space="preserve">вреда; </w:t>
            </w:r>
          </w:p>
          <w:p w:rsidR="00605736" w:rsidRPr="004D7A5B" w:rsidRDefault="00605736" w:rsidP="00605736">
            <w:pPr>
              <w:ind w:firstLine="400"/>
              <w:jc w:val="both"/>
              <w:rPr>
                <w:rStyle w:val="s0"/>
                <w:sz w:val="22"/>
                <w:szCs w:val="22"/>
              </w:rPr>
            </w:pPr>
            <w:r w:rsidRPr="004D7A5B">
              <w:rPr>
                <w:rStyle w:val="s0"/>
                <w:sz w:val="22"/>
                <w:szCs w:val="22"/>
              </w:rPr>
              <w:t>…….</w:t>
            </w:r>
          </w:p>
        </w:tc>
        <w:tc>
          <w:tcPr>
            <w:tcW w:w="3745" w:type="dxa"/>
          </w:tcPr>
          <w:p w:rsidR="00605736" w:rsidRPr="00F06E15" w:rsidRDefault="00605736" w:rsidP="00605736">
            <w:pPr>
              <w:widowControl w:val="0"/>
              <w:suppressAutoHyphens/>
              <w:ind w:firstLine="176"/>
              <w:contextualSpacing/>
              <w:jc w:val="both"/>
              <w:rPr>
                <w:rStyle w:val="s0"/>
                <w:sz w:val="22"/>
                <w:szCs w:val="22"/>
              </w:rPr>
            </w:pPr>
            <w:r>
              <w:rPr>
                <w:rStyle w:val="s0"/>
                <w:sz w:val="22"/>
                <w:szCs w:val="22"/>
              </w:rPr>
              <w:lastRenderedPageBreak/>
              <w:t>Предлагается не облагать компенсации по моральному вреду при причинении вреда жизни и здоровью физического лица</w:t>
            </w:r>
          </w:p>
        </w:tc>
        <w:tc>
          <w:tcPr>
            <w:tcW w:w="1276" w:type="dxa"/>
          </w:tcPr>
          <w:p w:rsidR="00605736" w:rsidRDefault="00605736" w:rsidP="00605736">
            <w:pPr>
              <w:widowControl w:val="0"/>
              <w:suppressAutoHyphens/>
              <w:contextualSpacing/>
              <w:jc w:val="center"/>
              <w:rPr>
                <w:sz w:val="22"/>
                <w:szCs w:val="22"/>
              </w:rPr>
            </w:pPr>
            <w:r w:rsidRPr="00F108EF">
              <w:rPr>
                <w:sz w:val="22"/>
                <w:szCs w:val="22"/>
              </w:rPr>
              <w:t>Казахмыс</w:t>
            </w:r>
          </w:p>
          <w:p w:rsidR="00605736" w:rsidRDefault="00605736" w:rsidP="00605736">
            <w:pPr>
              <w:widowControl w:val="0"/>
              <w:suppressAutoHyphens/>
              <w:contextualSpacing/>
              <w:jc w:val="center"/>
              <w:rPr>
                <w:sz w:val="22"/>
                <w:szCs w:val="22"/>
              </w:rPr>
            </w:pPr>
          </w:p>
          <w:p w:rsidR="00605736" w:rsidRDefault="00605736" w:rsidP="00605736">
            <w:pPr>
              <w:widowControl w:val="0"/>
              <w:suppressAutoHyphens/>
              <w:contextualSpacing/>
              <w:jc w:val="center"/>
              <w:rPr>
                <w:sz w:val="22"/>
                <w:szCs w:val="22"/>
              </w:rPr>
            </w:pPr>
            <w:r w:rsidRPr="00EB50E4">
              <w:rPr>
                <w:sz w:val="22"/>
                <w:szCs w:val="22"/>
                <w:highlight w:val="yellow"/>
              </w:rPr>
              <w:t>ИПН</w:t>
            </w:r>
          </w:p>
        </w:tc>
      </w:tr>
      <w:tr w:rsidR="00605736" w:rsidRPr="003D6E13" w:rsidTr="00CC6E8E">
        <w:tc>
          <w:tcPr>
            <w:tcW w:w="675" w:type="dxa"/>
          </w:tcPr>
          <w:p w:rsidR="00605736" w:rsidRPr="003D6E13" w:rsidRDefault="00605736" w:rsidP="00605736">
            <w:pPr>
              <w:pStyle w:val="a4"/>
              <w:numPr>
                <w:ilvl w:val="0"/>
                <w:numId w:val="10"/>
              </w:numPr>
              <w:contextualSpacing/>
              <w:jc w:val="both"/>
              <w:rPr>
                <w:rStyle w:val="s1"/>
                <w:b w:val="0"/>
                <w:sz w:val="22"/>
                <w:szCs w:val="22"/>
              </w:rPr>
            </w:pPr>
          </w:p>
        </w:tc>
        <w:tc>
          <w:tcPr>
            <w:tcW w:w="1134" w:type="dxa"/>
          </w:tcPr>
          <w:p w:rsidR="00605736" w:rsidRPr="00CE32AC" w:rsidRDefault="00605736" w:rsidP="00605736">
            <w:pPr>
              <w:rPr>
                <w:b/>
              </w:rPr>
            </w:pPr>
            <w:r w:rsidRPr="00CE32AC">
              <w:rPr>
                <w:b/>
              </w:rPr>
              <w:t>Статья 353 пункт 2</w:t>
            </w:r>
          </w:p>
        </w:tc>
        <w:tc>
          <w:tcPr>
            <w:tcW w:w="4111" w:type="dxa"/>
          </w:tcPr>
          <w:p w:rsidR="00605736" w:rsidRPr="00300C8D" w:rsidRDefault="00605736" w:rsidP="00605736">
            <w:r w:rsidRPr="00300C8D">
              <w:rPr>
                <w:rStyle w:val="s1"/>
              </w:rPr>
              <w:t>Статья 353. Определение облагаемого дохода у источника выплаты</w:t>
            </w:r>
          </w:p>
          <w:p w:rsidR="00605736" w:rsidRPr="00300C8D" w:rsidRDefault="00605736" w:rsidP="00605736">
            <w:pPr>
              <w:ind w:firstLine="397"/>
            </w:pPr>
            <w:bookmarkStart w:id="5" w:name="SUB3530100"/>
            <w:bookmarkEnd w:id="5"/>
            <w:r w:rsidRPr="00300C8D">
              <w:rPr>
                <w:rStyle w:val="s0"/>
              </w:rPr>
              <w:t>1. Сумма облагаемого дохода работника определяется в следующем порядке:</w:t>
            </w:r>
          </w:p>
          <w:p w:rsidR="00605736" w:rsidRPr="00300C8D" w:rsidRDefault="00605736" w:rsidP="00605736">
            <w:pPr>
              <w:ind w:firstLine="397"/>
            </w:pPr>
            <w:r w:rsidRPr="00300C8D">
              <w:rPr>
                <w:rStyle w:val="s0"/>
              </w:rPr>
              <w:t>сумма доходов работника, подлежащих налогообложению у источника выплаты, полученных в текущем налоговом периоде,</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t xml:space="preserve">сумма корректировки дохода в текущем налоговом периоде, предусмотренной </w:t>
            </w:r>
            <w:bookmarkStart w:id="6" w:name="sub1006044524"/>
            <w:r w:rsidRPr="00300C8D">
              <w:rPr>
                <w:rStyle w:val="s0"/>
              </w:rPr>
              <w:fldChar w:fldCharType="begin"/>
            </w:r>
            <w:r w:rsidRPr="00300C8D">
              <w:rPr>
                <w:rStyle w:val="s0"/>
              </w:rPr>
              <w:instrText xml:space="preserve"> HYPERLINK "jl:36148637.3410000%20" </w:instrText>
            </w:r>
            <w:r w:rsidRPr="00300C8D">
              <w:rPr>
                <w:rStyle w:val="s0"/>
              </w:rPr>
              <w:fldChar w:fldCharType="separate"/>
            </w:r>
            <w:r w:rsidRPr="00300C8D">
              <w:rPr>
                <w:rStyle w:val="a6"/>
              </w:rPr>
              <w:t>пунктом 1 статьи 341</w:t>
            </w:r>
            <w:r w:rsidRPr="00300C8D">
              <w:rPr>
                <w:rStyle w:val="s0"/>
              </w:rPr>
              <w:fldChar w:fldCharType="end"/>
            </w:r>
            <w:r w:rsidRPr="00300C8D">
              <w:rPr>
                <w:rStyle w:val="s0"/>
              </w:rPr>
              <w:t xml:space="preserve"> настоящего Кодекса,</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t xml:space="preserve">сумма налоговых вычетов в порядке, указанном в </w:t>
            </w:r>
            <w:bookmarkStart w:id="7" w:name="sub1006049169"/>
            <w:r w:rsidRPr="00300C8D">
              <w:rPr>
                <w:rStyle w:val="s0"/>
              </w:rPr>
              <w:fldChar w:fldCharType="begin"/>
            </w:r>
            <w:r w:rsidRPr="00300C8D">
              <w:rPr>
                <w:rStyle w:val="s0"/>
              </w:rPr>
              <w:instrText xml:space="preserve"> HYPERLINK "jl:36148637.3420000%20" </w:instrText>
            </w:r>
            <w:r w:rsidRPr="00300C8D">
              <w:rPr>
                <w:rStyle w:val="s0"/>
              </w:rPr>
              <w:fldChar w:fldCharType="separate"/>
            </w:r>
            <w:r w:rsidRPr="00300C8D">
              <w:rPr>
                <w:rStyle w:val="a6"/>
              </w:rPr>
              <w:t>статье 342</w:t>
            </w:r>
            <w:r w:rsidRPr="00300C8D">
              <w:rPr>
                <w:rStyle w:val="s0"/>
              </w:rPr>
              <w:fldChar w:fldCharType="end"/>
            </w:r>
            <w:bookmarkEnd w:id="7"/>
            <w:r w:rsidRPr="00300C8D">
              <w:rPr>
                <w:rStyle w:val="s0"/>
              </w:rPr>
              <w:t xml:space="preserve"> настоящего Кодекса.</w:t>
            </w:r>
          </w:p>
          <w:p w:rsidR="00605736" w:rsidRPr="00300C8D" w:rsidRDefault="00605736" w:rsidP="00605736">
            <w:pPr>
              <w:ind w:firstLine="397"/>
            </w:pPr>
            <w:bookmarkStart w:id="8" w:name="SUB3530200"/>
            <w:bookmarkEnd w:id="8"/>
            <w:r w:rsidRPr="00300C8D">
              <w:rPr>
                <w:rStyle w:val="s0"/>
              </w:rPr>
              <w:t xml:space="preserve">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w:t>
            </w:r>
            <w:bookmarkStart w:id="9" w:name="sub1006100830"/>
            <w:r w:rsidRPr="00300C8D">
              <w:rPr>
                <w:rStyle w:val="s2"/>
              </w:rPr>
              <w:fldChar w:fldCharType="begin"/>
            </w:r>
            <w:r w:rsidRPr="00300C8D">
              <w:rPr>
                <w:rStyle w:val="s2"/>
              </w:rPr>
              <w:instrText xml:space="preserve"> HYPERLINK "jl:36148637.10119.1006100830_31"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w:instrText>
            </w:r>
            <w:r w:rsidRPr="00300C8D">
              <w:rPr>
                <w:rStyle w:val="s2"/>
              </w:rPr>
              <w:fldChar w:fldCharType="separate"/>
            </w:r>
            <w:r w:rsidRPr="00300C8D">
              <w:rPr>
                <w:rStyle w:val="a6"/>
              </w:rPr>
              <w:t>лицом, занимающимся частной практикой</w:t>
            </w:r>
            <w:r w:rsidRPr="00300C8D">
              <w:rPr>
                <w:rStyle w:val="s2"/>
              </w:rPr>
              <w:fldChar w:fldCharType="end"/>
            </w:r>
            <w:bookmarkEnd w:id="9"/>
            <w:r w:rsidRPr="00300C8D">
              <w:rPr>
                <w:rStyle w:val="s0"/>
              </w:rPr>
              <w:t>, определяется в следующем порядке:</w:t>
            </w:r>
          </w:p>
          <w:p w:rsidR="00605736" w:rsidRPr="00300C8D" w:rsidRDefault="00605736" w:rsidP="00605736">
            <w:pPr>
              <w:ind w:firstLine="397"/>
            </w:pPr>
            <w:r w:rsidRPr="00300C8D">
              <w:rPr>
                <w:rStyle w:val="s0"/>
              </w:rPr>
              <w:t>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t xml:space="preserve">сумма корректировки дохода в текущем налоговом периоде, предусмотренной </w:t>
            </w:r>
            <w:hyperlink r:id="rId10" w:history="1">
              <w:r w:rsidRPr="00300C8D">
                <w:rPr>
                  <w:rStyle w:val="a6"/>
                </w:rPr>
                <w:t>пунктом 1 статьи 341</w:t>
              </w:r>
            </w:hyperlink>
            <w:bookmarkEnd w:id="6"/>
            <w:r w:rsidRPr="00300C8D">
              <w:rPr>
                <w:rStyle w:val="s0"/>
              </w:rPr>
              <w:t xml:space="preserve"> настоящего Кодекса,</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lastRenderedPageBreak/>
              <w:t xml:space="preserve">сумма стандартных вычетов, указанных в </w:t>
            </w:r>
            <w:bookmarkStart w:id="10" w:name="sub1006049173"/>
            <w:r w:rsidRPr="00300C8D">
              <w:rPr>
                <w:rStyle w:val="s0"/>
              </w:rPr>
              <w:fldChar w:fldCharType="begin"/>
            </w:r>
            <w:r w:rsidRPr="00300C8D">
              <w:rPr>
                <w:rStyle w:val="s0"/>
              </w:rPr>
              <w:instrText xml:space="preserve"> HYPERLINK "jl:36148637.3460000.1006049173_1"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w:instrText>
            </w:r>
            <w:r w:rsidRPr="00300C8D">
              <w:rPr>
                <w:rStyle w:val="s0"/>
              </w:rPr>
              <w:fldChar w:fldCharType="separate"/>
            </w:r>
            <w:r w:rsidRPr="00300C8D">
              <w:rPr>
                <w:rStyle w:val="a6"/>
              </w:rPr>
              <w:t>подпунктах 2) и (или) 3) пункта 1 статьи 346</w:t>
            </w:r>
            <w:r w:rsidRPr="00300C8D">
              <w:rPr>
                <w:rStyle w:val="s0"/>
              </w:rPr>
              <w:fldChar w:fldCharType="end"/>
            </w:r>
            <w:bookmarkEnd w:id="10"/>
            <w:r w:rsidRPr="00300C8D">
              <w:rPr>
                <w:rStyle w:val="s0"/>
              </w:rPr>
              <w:t xml:space="preserve"> настоящего Кодекса.</w:t>
            </w:r>
          </w:p>
          <w:p w:rsidR="00605736" w:rsidRPr="00300C8D" w:rsidRDefault="00605736" w:rsidP="00605736">
            <w:pPr>
              <w:rPr>
                <w:b/>
              </w:rPr>
            </w:pPr>
          </w:p>
        </w:tc>
        <w:tc>
          <w:tcPr>
            <w:tcW w:w="4111" w:type="dxa"/>
          </w:tcPr>
          <w:p w:rsidR="00605736" w:rsidRPr="00300C8D" w:rsidRDefault="00605736" w:rsidP="00605736">
            <w:r w:rsidRPr="00300C8D">
              <w:rPr>
                <w:rStyle w:val="s1"/>
              </w:rPr>
              <w:lastRenderedPageBreak/>
              <w:t>Статья 353. Определение облагаемого дохода у источника выплаты</w:t>
            </w:r>
          </w:p>
          <w:p w:rsidR="00605736" w:rsidRPr="00300C8D" w:rsidRDefault="00605736" w:rsidP="00605736">
            <w:pPr>
              <w:ind w:firstLine="397"/>
            </w:pPr>
            <w:r w:rsidRPr="00300C8D">
              <w:rPr>
                <w:rStyle w:val="s0"/>
              </w:rPr>
              <w:t>1. Сумма облагаемого дохода работника определяется в следующем порядке:</w:t>
            </w:r>
          </w:p>
          <w:p w:rsidR="00605736" w:rsidRPr="00300C8D" w:rsidRDefault="00605736" w:rsidP="00605736">
            <w:pPr>
              <w:ind w:firstLine="397"/>
            </w:pPr>
            <w:r w:rsidRPr="00300C8D">
              <w:rPr>
                <w:rStyle w:val="s0"/>
              </w:rPr>
              <w:t>сумма доходов работника, подлежащих налогообложению у источника выплаты, полученных в текущем налоговом периоде,</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t xml:space="preserve">сумма корректировки дохода в текущем налоговом периоде, предусмотренной </w:t>
            </w:r>
            <w:hyperlink r:id="rId11" w:history="1">
              <w:r w:rsidRPr="00300C8D">
                <w:rPr>
                  <w:rStyle w:val="a6"/>
                </w:rPr>
                <w:t>пунктом 1 статьи 341</w:t>
              </w:r>
            </w:hyperlink>
            <w:r w:rsidRPr="00300C8D">
              <w:rPr>
                <w:rStyle w:val="s0"/>
              </w:rPr>
              <w:t xml:space="preserve"> настоящего Кодекса,</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t xml:space="preserve">сумма налоговых вычетов в порядке, указанном в </w:t>
            </w:r>
            <w:hyperlink r:id="rId12" w:history="1">
              <w:r w:rsidRPr="00300C8D">
                <w:rPr>
                  <w:rStyle w:val="a6"/>
                </w:rPr>
                <w:t>статье 342</w:t>
              </w:r>
            </w:hyperlink>
            <w:r w:rsidRPr="00300C8D">
              <w:rPr>
                <w:rStyle w:val="s0"/>
              </w:rPr>
              <w:t xml:space="preserve"> настоящего Кодекса.</w:t>
            </w:r>
          </w:p>
          <w:p w:rsidR="00605736" w:rsidRPr="00300C8D" w:rsidRDefault="00605736" w:rsidP="00605736">
            <w:pPr>
              <w:ind w:firstLine="397"/>
            </w:pPr>
            <w:r w:rsidRPr="00300C8D">
              <w:rPr>
                <w:rStyle w:val="s0"/>
              </w:rPr>
              <w:t xml:space="preserve">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w:t>
            </w:r>
            <w:hyperlink r:id="rId13" w:tooltip="Кодекс Республики Казахстан от 25 декабря 2017 года № 120-VI " w:history="1">
              <w:r w:rsidRPr="00300C8D">
                <w:rPr>
                  <w:rStyle w:val="a6"/>
                </w:rPr>
                <w:t>лицом, занимающимся частной практикой</w:t>
              </w:r>
            </w:hyperlink>
            <w:r w:rsidRPr="00300C8D">
              <w:rPr>
                <w:rStyle w:val="s0"/>
              </w:rPr>
              <w:t>, определяется в следующем порядке:</w:t>
            </w:r>
          </w:p>
          <w:p w:rsidR="00605736" w:rsidRPr="00300C8D" w:rsidRDefault="00605736" w:rsidP="00605736">
            <w:pPr>
              <w:ind w:firstLine="397"/>
            </w:pPr>
            <w:r w:rsidRPr="00300C8D">
              <w:rPr>
                <w:rStyle w:val="s0"/>
              </w:rPr>
              <w:t>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t xml:space="preserve">сумма корректировки дохода в текущем налоговом периоде, предусмотренной </w:t>
            </w:r>
            <w:hyperlink r:id="rId14" w:history="1">
              <w:r w:rsidRPr="00300C8D">
                <w:rPr>
                  <w:rStyle w:val="a6"/>
                </w:rPr>
                <w:t>пунктом 1 статьи 341</w:t>
              </w:r>
            </w:hyperlink>
            <w:r w:rsidRPr="00300C8D">
              <w:rPr>
                <w:rStyle w:val="s0"/>
              </w:rPr>
              <w:t xml:space="preserve"> настоящего Кодекса,</w:t>
            </w:r>
          </w:p>
          <w:p w:rsidR="00605736" w:rsidRPr="00300C8D" w:rsidRDefault="00605736" w:rsidP="00605736">
            <w:pPr>
              <w:ind w:firstLine="397"/>
            </w:pPr>
            <w:r w:rsidRPr="00300C8D">
              <w:rPr>
                <w:rStyle w:val="s0"/>
              </w:rPr>
              <w:t>минус</w:t>
            </w:r>
          </w:p>
          <w:p w:rsidR="00605736" w:rsidRPr="00300C8D" w:rsidRDefault="00605736" w:rsidP="00605736">
            <w:pPr>
              <w:ind w:firstLine="397"/>
            </w:pPr>
            <w:r w:rsidRPr="00300C8D">
              <w:rPr>
                <w:rStyle w:val="s0"/>
              </w:rPr>
              <w:lastRenderedPageBreak/>
              <w:t xml:space="preserve">сумма стандартных вычетов, указанных в </w:t>
            </w:r>
            <w:hyperlink r:id="rId15" w:tooltip="Кодекс Республики Казахстан от 25 декабря 2017 года № 120-VI " w:history="1">
              <w:r w:rsidRPr="00300C8D">
                <w:rPr>
                  <w:rStyle w:val="a6"/>
                </w:rPr>
                <w:t>подпунктах 2) и (или) 3) пункта 1 статьи 346</w:t>
              </w:r>
            </w:hyperlink>
            <w:r w:rsidRPr="00300C8D">
              <w:rPr>
                <w:rStyle w:val="s0"/>
              </w:rPr>
              <w:t xml:space="preserve"> настоящего Кодекса.</w:t>
            </w:r>
          </w:p>
          <w:p w:rsidR="00605736" w:rsidRPr="00300C8D" w:rsidRDefault="00605736" w:rsidP="00605736">
            <w:pPr>
              <w:rPr>
                <w:b/>
              </w:rPr>
            </w:pPr>
            <w:r>
              <w:t xml:space="preserve">       </w:t>
            </w:r>
            <w:r w:rsidRPr="00300C8D">
              <w:rPr>
                <w:b/>
              </w:rPr>
              <w:t>минус</w:t>
            </w:r>
          </w:p>
          <w:p w:rsidR="00605736" w:rsidRPr="00300C8D" w:rsidRDefault="00605736" w:rsidP="00605736">
            <w:pPr>
              <w:rPr>
                <w:b/>
              </w:rPr>
            </w:pPr>
            <w:r w:rsidRPr="00300C8D">
              <w:rPr>
                <w:b/>
              </w:rPr>
              <w:t>сумма вычета, указанного в подпункте 1 пункта 1 статьи 342 настоящего Кодекса.</w:t>
            </w:r>
          </w:p>
          <w:p w:rsidR="00605736" w:rsidRPr="00300C8D" w:rsidRDefault="00605736" w:rsidP="00605736"/>
        </w:tc>
        <w:tc>
          <w:tcPr>
            <w:tcW w:w="3745" w:type="dxa"/>
          </w:tcPr>
          <w:p w:rsidR="00605736" w:rsidRDefault="00605736" w:rsidP="00605736">
            <w:pPr>
              <w:ind w:firstLine="397"/>
              <w:jc w:val="both"/>
              <w:rPr>
                <w:color w:val="000000"/>
                <w:sz w:val="24"/>
                <w:szCs w:val="24"/>
              </w:rPr>
            </w:pPr>
          </w:p>
          <w:p w:rsidR="00605736" w:rsidRDefault="00605736" w:rsidP="00605736">
            <w:pPr>
              <w:jc w:val="both"/>
              <w:rPr>
                <w:color w:val="000000"/>
                <w:sz w:val="24"/>
                <w:szCs w:val="24"/>
              </w:rPr>
            </w:pPr>
            <w:r>
              <w:rPr>
                <w:color w:val="000000"/>
                <w:sz w:val="24"/>
                <w:szCs w:val="24"/>
              </w:rPr>
              <w:t>Учитывая, что с 01.01.2019 года налоговый агент обязан производить удержание и перечисление взносов в НПФ с ф</w:t>
            </w:r>
            <w:r w:rsidRPr="00300C8D">
              <w:rPr>
                <w:color w:val="000000"/>
                <w:sz w:val="24"/>
                <w:szCs w:val="24"/>
              </w:rPr>
              <w:t>изическ</w:t>
            </w:r>
            <w:r>
              <w:rPr>
                <w:color w:val="000000"/>
                <w:sz w:val="24"/>
                <w:szCs w:val="24"/>
              </w:rPr>
              <w:t>их</w:t>
            </w:r>
            <w:r w:rsidRPr="00300C8D">
              <w:rPr>
                <w:color w:val="000000"/>
                <w:sz w:val="24"/>
                <w:szCs w:val="24"/>
              </w:rPr>
              <w:t xml:space="preserve"> лиц</w:t>
            </w:r>
            <w:r>
              <w:rPr>
                <w:color w:val="000000"/>
                <w:sz w:val="24"/>
                <w:szCs w:val="24"/>
              </w:rPr>
              <w:t>, работающих по договорам гражданско-правового характера, предлагаем при исчислении ИПН у налогового агента сразу применять налоговый вычет по ОПВ.</w:t>
            </w:r>
          </w:p>
          <w:p w:rsidR="00605736" w:rsidRPr="003F4A8D" w:rsidRDefault="00605736" w:rsidP="00605736">
            <w:pPr>
              <w:jc w:val="both"/>
              <w:rPr>
                <w:color w:val="000000"/>
                <w:sz w:val="24"/>
                <w:szCs w:val="24"/>
              </w:rPr>
            </w:pPr>
            <w:r>
              <w:rPr>
                <w:color w:val="000000"/>
                <w:sz w:val="24"/>
                <w:szCs w:val="24"/>
              </w:rPr>
              <w:t>Согласно стат</w:t>
            </w:r>
            <w:r w:rsidRPr="00FE793A">
              <w:rPr>
                <w:color w:val="000000"/>
                <w:sz w:val="24"/>
                <w:szCs w:val="24"/>
              </w:rPr>
              <w:t>ье</w:t>
            </w:r>
            <w:r>
              <w:rPr>
                <w:color w:val="000000"/>
                <w:sz w:val="24"/>
                <w:szCs w:val="24"/>
              </w:rPr>
              <w:t xml:space="preserve"> </w:t>
            </w:r>
            <w:r w:rsidRPr="00FE793A">
              <w:rPr>
                <w:color w:val="000000"/>
                <w:sz w:val="24"/>
                <w:szCs w:val="24"/>
              </w:rPr>
              <w:t>342</w:t>
            </w:r>
            <w:r>
              <w:rPr>
                <w:color w:val="000000"/>
                <w:sz w:val="24"/>
                <w:szCs w:val="24"/>
              </w:rPr>
              <w:t xml:space="preserve"> «</w:t>
            </w:r>
            <w:r w:rsidRPr="003F4A8D">
              <w:rPr>
                <w:color w:val="000000"/>
                <w:sz w:val="24"/>
                <w:szCs w:val="24"/>
              </w:rPr>
              <w:t>Общие положения по налоговым вычетам</w:t>
            </w:r>
            <w:r>
              <w:rPr>
                <w:color w:val="000000"/>
                <w:sz w:val="24"/>
                <w:szCs w:val="24"/>
              </w:rPr>
              <w:t>».</w:t>
            </w:r>
          </w:p>
          <w:p w:rsidR="00605736" w:rsidRPr="003F4A8D" w:rsidRDefault="00605736" w:rsidP="00605736">
            <w:pPr>
              <w:ind w:firstLine="397"/>
              <w:jc w:val="both"/>
              <w:rPr>
                <w:color w:val="000000"/>
                <w:sz w:val="24"/>
                <w:szCs w:val="24"/>
              </w:rPr>
            </w:pPr>
            <w:bookmarkStart w:id="11" w:name="SUB3420100"/>
            <w:bookmarkEnd w:id="11"/>
            <w:r w:rsidRPr="003F4A8D">
              <w:rPr>
                <w:color w:val="000000"/>
                <w:sz w:val="24"/>
                <w:szCs w:val="24"/>
              </w:rPr>
              <w:t>1. Физическое лицо имеет право на применение следующих видов налоговых вычетов:</w:t>
            </w:r>
          </w:p>
          <w:p w:rsidR="00605736" w:rsidRDefault="00605736" w:rsidP="00605736">
            <w:pPr>
              <w:ind w:firstLine="397"/>
              <w:jc w:val="both"/>
              <w:rPr>
                <w:color w:val="000000"/>
                <w:sz w:val="24"/>
                <w:szCs w:val="24"/>
              </w:rPr>
            </w:pPr>
            <w:bookmarkStart w:id="12" w:name="SUB3420101"/>
            <w:bookmarkEnd w:id="12"/>
            <w:r w:rsidRPr="003F4A8D">
              <w:rPr>
                <w:color w:val="000000"/>
                <w:sz w:val="24"/>
                <w:szCs w:val="24"/>
              </w:rPr>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605736" w:rsidRPr="003F4A8D" w:rsidRDefault="00605736" w:rsidP="00605736">
            <w:pPr>
              <w:ind w:firstLine="397"/>
              <w:jc w:val="both"/>
              <w:rPr>
                <w:color w:val="000000"/>
                <w:sz w:val="24"/>
                <w:szCs w:val="24"/>
              </w:rPr>
            </w:pPr>
          </w:p>
          <w:p w:rsidR="00605736" w:rsidRDefault="00605736" w:rsidP="00605736">
            <w:pPr>
              <w:jc w:val="both"/>
              <w:rPr>
                <w:color w:val="000000"/>
                <w:sz w:val="24"/>
                <w:szCs w:val="24"/>
              </w:rPr>
            </w:pPr>
            <w:r>
              <w:rPr>
                <w:color w:val="000000"/>
                <w:sz w:val="24"/>
                <w:szCs w:val="24"/>
              </w:rPr>
              <w:t xml:space="preserve"> В случае, если данный вычет не будет предоставлен сразу, физическое лицо</w:t>
            </w:r>
            <w:r w:rsidRPr="00300C8D">
              <w:rPr>
                <w:color w:val="000000"/>
                <w:sz w:val="24"/>
                <w:szCs w:val="24"/>
              </w:rPr>
              <w:t xml:space="preserve"> </w:t>
            </w:r>
            <w:r>
              <w:rPr>
                <w:color w:val="000000"/>
                <w:sz w:val="24"/>
                <w:szCs w:val="24"/>
              </w:rPr>
              <w:t xml:space="preserve">будет вынуждено обращаться в налоговые органы за перерасчетом ИПН на сумму удержанных ОПВ, что повлечет </w:t>
            </w:r>
            <w:r>
              <w:rPr>
                <w:color w:val="000000"/>
                <w:sz w:val="24"/>
                <w:szCs w:val="24"/>
              </w:rPr>
              <w:lastRenderedPageBreak/>
              <w:t>за собой дополнительные трудозатраты.</w:t>
            </w:r>
          </w:p>
          <w:p w:rsidR="00605736" w:rsidRDefault="00605736" w:rsidP="00605736">
            <w:pPr>
              <w:jc w:val="both"/>
              <w:rPr>
                <w:color w:val="000000"/>
                <w:sz w:val="24"/>
                <w:szCs w:val="24"/>
              </w:rPr>
            </w:pPr>
            <w:r>
              <w:rPr>
                <w:color w:val="000000"/>
                <w:sz w:val="24"/>
                <w:szCs w:val="24"/>
              </w:rPr>
              <w:t>Особенно актуальна данная поправка будет в случае переноса срока вступления в действие механизма всеобщего декларирования.</w:t>
            </w:r>
          </w:p>
          <w:p w:rsidR="00605736" w:rsidRDefault="00605736" w:rsidP="00605736">
            <w:pPr>
              <w:jc w:val="both"/>
              <w:rPr>
                <w:color w:val="000000"/>
                <w:sz w:val="24"/>
                <w:szCs w:val="24"/>
              </w:rPr>
            </w:pPr>
          </w:p>
          <w:p w:rsidR="00605736" w:rsidRDefault="00605736" w:rsidP="00605736">
            <w:pPr>
              <w:jc w:val="both"/>
              <w:rPr>
                <w:color w:val="000000"/>
                <w:sz w:val="24"/>
                <w:szCs w:val="24"/>
              </w:rPr>
            </w:pPr>
          </w:p>
          <w:p w:rsidR="00605736" w:rsidRPr="00300C8D" w:rsidRDefault="00605736" w:rsidP="00605736">
            <w:pPr>
              <w:ind w:firstLine="397"/>
              <w:jc w:val="both"/>
            </w:pPr>
          </w:p>
        </w:tc>
        <w:tc>
          <w:tcPr>
            <w:tcW w:w="1276" w:type="dxa"/>
          </w:tcPr>
          <w:p w:rsidR="00605736" w:rsidRPr="00CE32AC" w:rsidRDefault="00605736" w:rsidP="00605736">
            <w:pPr>
              <w:ind w:firstLine="397"/>
              <w:jc w:val="both"/>
              <w:rPr>
                <w:b/>
                <w:color w:val="000000"/>
                <w:sz w:val="24"/>
                <w:szCs w:val="24"/>
              </w:rPr>
            </w:pPr>
            <w:r w:rsidRPr="00CE32AC">
              <w:rPr>
                <w:b/>
                <w:color w:val="000000"/>
                <w:sz w:val="24"/>
                <w:szCs w:val="24"/>
              </w:rPr>
              <w:lastRenderedPageBreak/>
              <w:t>АО НАК «Казатомпром</w:t>
            </w:r>
          </w:p>
          <w:p w:rsidR="00605736" w:rsidRPr="00CE32AC" w:rsidRDefault="00605736" w:rsidP="00605736">
            <w:pPr>
              <w:ind w:firstLine="397"/>
              <w:jc w:val="both"/>
              <w:rPr>
                <w:b/>
                <w:color w:val="000000"/>
                <w:sz w:val="24"/>
                <w:szCs w:val="24"/>
              </w:rPr>
            </w:pPr>
          </w:p>
        </w:tc>
      </w:tr>
      <w:tr w:rsidR="00605736" w:rsidRPr="003D6E13" w:rsidTr="00CC6E8E">
        <w:tc>
          <w:tcPr>
            <w:tcW w:w="675" w:type="dxa"/>
          </w:tcPr>
          <w:p w:rsidR="00605736" w:rsidRPr="003D6E13" w:rsidRDefault="00605736" w:rsidP="00605736">
            <w:pPr>
              <w:pStyle w:val="a4"/>
              <w:numPr>
                <w:ilvl w:val="0"/>
                <w:numId w:val="10"/>
              </w:numPr>
              <w:contextualSpacing/>
              <w:jc w:val="both"/>
              <w:rPr>
                <w:rStyle w:val="s1"/>
                <w:b w:val="0"/>
                <w:sz w:val="22"/>
                <w:szCs w:val="22"/>
              </w:rPr>
            </w:pPr>
          </w:p>
        </w:tc>
        <w:tc>
          <w:tcPr>
            <w:tcW w:w="1134" w:type="dxa"/>
          </w:tcPr>
          <w:p w:rsidR="00605736" w:rsidRPr="00341BDB" w:rsidRDefault="00605736" w:rsidP="00605736">
            <w:pPr>
              <w:widowControl w:val="0"/>
              <w:jc w:val="both"/>
            </w:pPr>
            <w:r w:rsidRPr="00C17CC8">
              <w:rPr>
                <w:color w:val="000000"/>
                <w:lang w:eastAsia="cs-CZ"/>
              </w:rPr>
              <w:t xml:space="preserve">Абзац </w:t>
            </w:r>
            <w:r>
              <w:rPr>
                <w:color w:val="000000"/>
                <w:lang w:eastAsia="cs-CZ"/>
              </w:rPr>
              <w:t>первый</w:t>
            </w:r>
            <w:r w:rsidRPr="00C17CC8">
              <w:rPr>
                <w:color w:val="000000"/>
                <w:lang w:eastAsia="cs-CZ"/>
              </w:rPr>
              <w:t xml:space="preserve"> подпункта </w:t>
            </w:r>
            <w:r>
              <w:rPr>
                <w:color w:val="000000"/>
                <w:lang w:eastAsia="cs-CZ"/>
              </w:rPr>
              <w:t>1</w:t>
            </w:r>
            <w:r w:rsidRPr="00C17CC8">
              <w:rPr>
                <w:color w:val="000000"/>
                <w:lang w:eastAsia="cs-CZ"/>
              </w:rPr>
              <w:t xml:space="preserve"> статьи </w:t>
            </w:r>
            <w:r>
              <w:rPr>
                <w:color w:val="000000"/>
                <w:lang w:eastAsia="cs-CZ"/>
              </w:rPr>
              <w:t>654</w:t>
            </w:r>
          </w:p>
        </w:tc>
        <w:tc>
          <w:tcPr>
            <w:tcW w:w="4111" w:type="dxa"/>
          </w:tcPr>
          <w:p w:rsidR="00605736" w:rsidRPr="0022497F" w:rsidRDefault="00605736" w:rsidP="00605736">
            <w:pPr>
              <w:jc w:val="both"/>
              <w:rPr>
                <w:rStyle w:val="s1"/>
                <w:sz w:val="20"/>
                <w:szCs w:val="20"/>
              </w:rPr>
            </w:pPr>
            <w:r w:rsidRPr="0022497F">
              <w:rPr>
                <w:rStyle w:val="s1"/>
                <w:sz w:val="20"/>
                <w:szCs w:val="20"/>
              </w:rPr>
              <w:t>Статья 654.</w:t>
            </w:r>
            <w:r>
              <w:rPr>
                <w:rStyle w:val="s1"/>
                <w:sz w:val="20"/>
                <w:szCs w:val="20"/>
              </w:rPr>
              <w:t xml:space="preserve"> </w:t>
            </w:r>
            <w:r w:rsidRPr="0022497F">
              <w:rPr>
                <w:rStyle w:val="s1"/>
                <w:sz w:val="20"/>
                <w:szCs w:val="20"/>
              </w:rPr>
              <w:t>Доходы физического лица-нерезидента, освобождаемые от налогообложения</w:t>
            </w:r>
          </w:p>
          <w:p w:rsidR="00605736" w:rsidRPr="0022497F" w:rsidRDefault="00605736" w:rsidP="00605736">
            <w:pPr>
              <w:jc w:val="both"/>
            </w:pPr>
            <w:r w:rsidRPr="0022497F">
              <w:t>Налогообложению не подлежат следующие доходы физического лица-нерезидента:</w:t>
            </w:r>
          </w:p>
          <w:p w:rsidR="00605736" w:rsidRPr="0022497F" w:rsidRDefault="00605736" w:rsidP="00605736">
            <w:pPr>
              <w:jc w:val="both"/>
              <w:rPr>
                <w:color w:val="000000"/>
              </w:rPr>
            </w:pPr>
          </w:p>
        </w:tc>
        <w:tc>
          <w:tcPr>
            <w:tcW w:w="4111" w:type="dxa"/>
          </w:tcPr>
          <w:p w:rsidR="00605736" w:rsidRPr="0022497F" w:rsidRDefault="00605736" w:rsidP="00605736">
            <w:pPr>
              <w:jc w:val="both"/>
            </w:pPr>
            <w:r w:rsidRPr="0022497F">
              <w:rPr>
                <w:rStyle w:val="s1"/>
                <w:sz w:val="20"/>
                <w:szCs w:val="20"/>
              </w:rPr>
              <w:t>Статья 65</w:t>
            </w:r>
            <w:r>
              <w:rPr>
                <w:rStyle w:val="s1"/>
                <w:sz w:val="20"/>
                <w:szCs w:val="20"/>
              </w:rPr>
              <w:t xml:space="preserve">4. </w:t>
            </w:r>
            <w:r w:rsidRPr="0022497F">
              <w:rPr>
                <w:rStyle w:val="s1"/>
                <w:sz w:val="20"/>
                <w:szCs w:val="20"/>
              </w:rPr>
              <w:t>Доход</w:t>
            </w:r>
            <w:r>
              <w:rPr>
                <w:rStyle w:val="s1"/>
                <w:sz w:val="20"/>
                <w:szCs w:val="20"/>
              </w:rPr>
              <w:t xml:space="preserve">ы физического лица-нерезидента, </w:t>
            </w:r>
            <w:r w:rsidRPr="0022497F">
              <w:rPr>
                <w:rStyle w:val="s1"/>
                <w:sz w:val="20"/>
                <w:szCs w:val="20"/>
              </w:rPr>
              <w:t>освобождаемые от налогообложения</w:t>
            </w:r>
          </w:p>
          <w:p w:rsidR="00605736" w:rsidRPr="0022497F" w:rsidRDefault="00605736" w:rsidP="00605736">
            <w:pPr>
              <w:jc w:val="both"/>
            </w:pPr>
            <w:r w:rsidRPr="0022497F">
              <w:t>Налогообложению не подлежат следующие доходы физического лица-нерезидента:</w:t>
            </w:r>
          </w:p>
          <w:p w:rsidR="00605736" w:rsidRPr="00C71340" w:rsidRDefault="00605736" w:rsidP="00605736">
            <w:pPr>
              <w:jc w:val="both"/>
              <w:rPr>
                <w:b/>
                <w:color w:val="000000"/>
              </w:rPr>
            </w:pPr>
            <w:r w:rsidRPr="00C71340">
              <w:rPr>
                <w:b/>
                <w:color w:val="333333"/>
                <w:shd w:val="clear" w:color="auto" w:fill="FFFFFF"/>
              </w:rPr>
              <w:t>1) вознаграждения, выплачиваемые физическим лицам-нерезидентам по их вкладам в банках и организациях, осуществляющих отдельные виды банковских операций на основании лицензии Национального Банка Республики Казахстан;</w:t>
            </w:r>
          </w:p>
          <w:p w:rsidR="00605736" w:rsidRPr="00341BDB" w:rsidRDefault="00605736" w:rsidP="00605736">
            <w:pPr>
              <w:jc w:val="both"/>
              <w:rPr>
                <w:color w:val="000000"/>
              </w:rPr>
            </w:pPr>
          </w:p>
        </w:tc>
        <w:tc>
          <w:tcPr>
            <w:tcW w:w="3745" w:type="dxa"/>
          </w:tcPr>
          <w:p w:rsidR="00605736" w:rsidRPr="00CB6E10" w:rsidRDefault="00605736" w:rsidP="00605736">
            <w:pPr>
              <w:tabs>
                <w:tab w:val="left" w:pos="993"/>
              </w:tabs>
              <w:jc w:val="both"/>
            </w:pPr>
            <w:r w:rsidRPr="00CB6E10">
              <w:t xml:space="preserve">До 01.01.2018г в действующей редакции НК была предусмотрена льгота с доходов виде вознаграждения физических лиц-нерезидентов по банковским вкладам, </w:t>
            </w:r>
            <w:r>
              <w:t xml:space="preserve">прошу вернуть льготу. Т.к. </w:t>
            </w:r>
            <w:r w:rsidRPr="00CB6E10">
              <w:t xml:space="preserve">возникает сложность для клиентов банка получить свидетельство (справку) о статусе резидента, обращения вкладчиков-нерезидентов с жалобами/заявлениями о неправомерности списания денежных средств. Все больше и больше возникает не довольных клиентов, у которых </w:t>
            </w:r>
            <w:r w:rsidRPr="00CB6E10">
              <w:rPr>
                <w:color w:val="000000"/>
                <w:shd w:val="clear" w:color="auto" w:fill="FCFCFC"/>
              </w:rPr>
              <w:t>подтверждающий д</w:t>
            </w:r>
            <w:r>
              <w:rPr>
                <w:color w:val="000000"/>
                <w:shd w:val="clear" w:color="auto" w:fill="FCFCFC"/>
              </w:rPr>
              <w:t xml:space="preserve">окумент «Вида на жительство РК» и Банки не могут получить </w:t>
            </w:r>
            <w:r>
              <w:t>четкого</w:t>
            </w:r>
            <w:r w:rsidRPr="00CB6E10">
              <w:t xml:space="preserve"> ответа с </w:t>
            </w:r>
            <w:r>
              <w:t xml:space="preserve">стороны </w:t>
            </w:r>
            <w:r w:rsidRPr="00CB6E10">
              <w:t>КГД РК</w:t>
            </w:r>
            <w:r>
              <w:t xml:space="preserve"> об удержании ИПН</w:t>
            </w:r>
            <w:r w:rsidRPr="00CB6E10">
              <w:t xml:space="preserve">.   Понижение дохода </w:t>
            </w:r>
            <w:r w:rsidRPr="00CB6E10">
              <w:rPr>
                <w:lang w:val="kk-KZ"/>
              </w:rPr>
              <w:t>в Банках второго уровня</w:t>
            </w:r>
            <w:r w:rsidRPr="00CB6E10">
              <w:t xml:space="preserve"> по вкладам, т.к клиенты закрывают депозиты.</w:t>
            </w:r>
            <w:r>
              <w:t xml:space="preserve"> Тем более с 2020г РК планирует внедрить всеобщее декларирование о доходах физ.лица. </w:t>
            </w:r>
          </w:p>
          <w:p w:rsidR="00605736" w:rsidRPr="00CB6E10" w:rsidRDefault="00605736" w:rsidP="00605736">
            <w:pPr>
              <w:tabs>
                <w:tab w:val="left" w:pos="993"/>
              </w:tabs>
              <w:jc w:val="both"/>
            </w:pPr>
          </w:p>
          <w:p w:rsidR="00605736" w:rsidRPr="00CB6E10" w:rsidRDefault="00605736" w:rsidP="00605736">
            <w:pPr>
              <w:jc w:val="both"/>
            </w:pPr>
          </w:p>
        </w:tc>
        <w:tc>
          <w:tcPr>
            <w:tcW w:w="1276" w:type="dxa"/>
          </w:tcPr>
          <w:p w:rsidR="00605736" w:rsidRPr="00CB6E10" w:rsidRDefault="00605736" w:rsidP="00605736">
            <w:pPr>
              <w:tabs>
                <w:tab w:val="left" w:pos="993"/>
              </w:tabs>
              <w:jc w:val="both"/>
            </w:pPr>
            <w:r>
              <w:rPr>
                <w:sz w:val="27"/>
                <w:szCs w:val="27"/>
              </w:rPr>
              <w:t>АО Евразийский Банк</w:t>
            </w:r>
          </w:p>
        </w:tc>
      </w:tr>
      <w:tr w:rsidR="00605736" w:rsidRPr="003D6E13" w:rsidTr="00CC6E8E">
        <w:tc>
          <w:tcPr>
            <w:tcW w:w="675" w:type="dxa"/>
          </w:tcPr>
          <w:p w:rsidR="00605736" w:rsidRPr="003D6E13" w:rsidRDefault="00605736" w:rsidP="00605736">
            <w:pPr>
              <w:pStyle w:val="a4"/>
              <w:numPr>
                <w:ilvl w:val="0"/>
                <w:numId w:val="10"/>
              </w:numPr>
              <w:contextualSpacing/>
              <w:jc w:val="both"/>
              <w:rPr>
                <w:rStyle w:val="s1"/>
                <w:b w:val="0"/>
                <w:sz w:val="22"/>
                <w:szCs w:val="22"/>
              </w:rPr>
            </w:pPr>
          </w:p>
        </w:tc>
        <w:tc>
          <w:tcPr>
            <w:tcW w:w="1134" w:type="dxa"/>
          </w:tcPr>
          <w:p w:rsidR="00605736" w:rsidRPr="00B23B90" w:rsidRDefault="00605736" w:rsidP="00605736">
            <w:pPr>
              <w:widowControl w:val="0"/>
              <w:jc w:val="both"/>
            </w:pPr>
            <w:r w:rsidRPr="00B23B90">
              <w:t>п.4 статьи 25 Закона о Пенсионн</w:t>
            </w:r>
            <w:r w:rsidRPr="00B23B90">
              <w:lastRenderedPageBreak/>
              <w:t>ом обеспечении в РК</w:t>
            </w:r>
          </w:p>
        </w:tc>
        <w:tc>
          <w:tcPr>
            <w:tcW w:w="4111" w:type="dxa"/>
          </w:tcPr>
          <w:p w:rsidR="00605736" w:rsidRPr="00B23B90" w:rsidRDefault="00605736" w:rsidP="00605736">
            <w:pPr>
              <w:pStyle w:val="a9"/>
              <w:rPr>
                <w:sz w:val="22"/>
                <w:szCs w:val="22"/>
              </w:rPr>
            </w:pPr>
            <w:r w:rsidRPr="00B23B90">
              <w:rPr>
                <w:sz w:val="22"/>
                <w:szCs w:val="22"/>
              </w:rPr>
              <w:lastRenderedPageBreak/>
              <w:t xml:space="preserve">Согласно п.4 статьи 25 Закона о Пенсионном обеспечении в РК для лиц, занимающихся частной практикой, индивидуальных предпринимателей, а </w:t>
            </w:r>
            <w:r w:rsidRPr="00B23B90">
              <w:rPr>
                <w:sz w:val="22"/>
                <w:szCs w:val="22"/>
              </w:rPr>
              <w:lastRenderedPageBreak/>
              <w:t xml:space="preserve">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пункта 2 статьи 24 настоящего Закона, обязательные пенсионные взносы в свою пользу, подлежащие уплате в единый накопительный пенсионный фонд, устанавливаются в размере 10 процентов от получаемого дохода, </w:t>
            </w:r>
            <w:r w:rsidRPr="00B23B90">
              <w:rPr>
                <w:b/>
                <w:color w:val="FF0000"/>
                <w:sz w:val="22"/>
                <w:szCs w:val="22"/>
              </w:rPr>
              <w:t>но не менее 10 процентов от минимального размера заработной платы</w:t>
            </w:r>
            <w:r w:rsidRPr="00B23B90">
              <w:rPr>
                <w:sz w:val="22"/>
                <w:szCs w:val="22"/>
              </w:rPr>
              <w:t xml:space="preserve"> и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 </w:t>
            </w:r>
          </w:p>
          <w:p w:rsidR="00605736" w:rsidRPr="00B23B90" w:rsidRDefault="00605736" w:rsidP="00605736">
            <w:pPr>
              <w:jc w:val="both"/>
              <w:rPr>
                <w:color w:val="000000"/>
              </w:rPr>
            </w:pPr>
          </w:p>
        </w:tc>
        <w:tc>
          <w:tcPr>
            <w:tcW w:w="4111" w:type="dxa"/>
          </w:tcPr>
          <w:p w:rsidR="00605736" w:rsidRPr="00B23B90" w:rsidRDefault="00605736" w:rsidP="00605736">
            <w:pPr>
              <w:pStyle w:val="a9"/>
              <w:rPr>
                <w:sz w:val="22"/>
                <w:szCs w:val="22"/>
              </w:rPr>
            </w:pPr>
            <w:r w:rsidRPr="00B23B90">
              <w:rPr>
                <w:sz w:val="22"/>
                <w:szCs w:val="22"/>
              </w:rPr>
              <w:lastRenderedPageBreak/>
              <w:t xml:space="preserve">Согласно п.4 статьи 25 Закона о Пенсионном обеспечении в РК для лиц, занимающихся частной практикой, индивидуальных предпринимателей, а </w:t>
            </w:r>
            <w:r w:rsidRPr="00B23B90">
              <w:rPr>
                <w:sz w:val="22"/>
                <w:szCs w:val="22"/>
              </w:rPr>
              <w:lastRenderedPageBreak/>
              <w:t xml:space="preserve">также физических лиц, получающих доходы по договорам гражданско-правового характера, предметом которых является выполнение работ (оказание услуг), за исключением случая, предусмотренного подпунктом 5) пункта 2 статьи 24 настоящего Закона, обязательные пенсионные взносы в свою пользу, подлежащие уплате в единый накопительный пенсионный фонд, устанавливаются в размере 10 процентов от получаемого дохода и не выше 10 процентов 50-кратного минимального размера заработной платы, установленного на соответствующий финансовый год законом о республиканском бюджете. </w:t>
            </w:r>
          </w:p>
          <w:p w:rsidR="00605736" w:rsidRPr="00B23B90" w:rsidRDefault="00605736" w:rsidP="00605736">
            <w:pPr>
              <w:jc w:val="both"/>
              <w:rPr>
                <w:color w:val="000000"/>
              </w:rPr>
            </w:pPr>
          </w:p>
        </w:tc>
        <w:tc>
          <w:tcPr>
            <w:tcW w:w="3745" w:type="dxa"/>
          </w:tcPr>
          <w:p w:rsidR="00605736" w:rsidRPr="00B23B90" w:rsidRDefault="00605736" w:rsidP="00605736">
            <w:pPr>
              <w:pStyle w:val="a9"/>
              <w:rPr>
                <w:sz w:val="22"/>
                <w:szCs w:val="22"/>
              </w:rPr>
            </w:pPr>
            <w:r w:rsidRPr="00B23B90">
              <w:rPr>
                <w:sz w:val="22"/>
                <w:szCs w:val="22"/>
              </w:rPr>
              <w:lastRenderedPageBreak/>
              <w:t xml:space="preserve">Снова «дыра» в Законе, убрать минимальный предел для расчета ОПВ по договорам ГПХ между юр.лицам и физ.лицами. Если </w:t>
            </w:r>
            <w:r w:rsidRPr="00B23B90">
              <w:rPr>
                <w:sz w:val="22"/>
                <w:szCs w:val="22"/>
              </w:rPr>
              <w:lastRenderedPageBreak/>
              <w:t xml:space="preserve">трактовать п.4 ст.25, таким образом следует что, МИНИМАЛЬНАЯ сумма ОПВ по договорам ГПХ  = 4250   (10 % * МЗП) . </w:t>
            </w:r>
          </w:p>
          <w:p w:rsidR="00605736" w:rsidRPr="00B23B90" w:rsidRDefault="00605736" w:rsidP="00605736">
            <w:pPr>
              <w:pStyle w:val="a9"/>
              <w:rPr>
                <w:sz w:val="22"/>
                <w:szCs w:val="22"/>
              </w:rPr>
            </w:pPr>
            <w:r w:rsidRPr="00B23B90">
              <w:rPr>
                <w:sz w:val="22"/>
                <w:szCs w:val="22"/>
              </w:rPr>
              <w:t>Поэтому,</w:t>
            </w:r>
            <w:r w:rsidRPr="00B23B90">
              <w:rPr>
                <w:b/>
                <w:bCs/>
                <w:sz w:val="22"/>
                <w:szCs w:val="22"/>
                <w:u w:val="single"/>
              </w:rPr>
              <w:t xml:space="preserve"> в случаях если доход равен 1500 сумма ОПВ = 4250 тенге.</w:t>
            </w:r>
            <w:r w:rsidRPr="00B23B90">
              <w:rPr>
                <w:sz w:val="22"/>
                <w:szCs w:val="22"/>
              </w:rPr>
              <w:t xml:space="preserve"> </w:t>
            </w:r>
          </w:p>
          <w:p w:rsidR="00605736" w:rsidRPr="00B23B90" w:rsidRDefault="00605736" w:rsidP="00605736">
            <w:pPr>
              <w:pStyle w:val="a9"/>
              <w:rPr>
                <w:sz w:val="22"/>
                <w:szCs w:val="22"/>
              </w:rPr>
            </w:pPr>
            <w:r w:rsidRPr="00B23B90">
              <w:rPr>
                <w:sz w:val="22"/>
                <w:szCs w:val="22"/>
              </w:rPr>
              <w:t xml:space="preserve">Только в данном случае, поскольку удерживать с ФЛ особо нечего, то всё бремя уплаты ОПВ ляжет на плечи налогового агента (юридического лица) за счет собственных средств- а это не желательно, т.к Юр.лицо не обязан формировать пенсионный фонд физ.лица по договорам ГПХ </w:t>
            </w:r>
          </w:p>
          <w:p w:rsidR="00605736" w:rsidRPr="00B23B90" w:rsidRDefault="00605736" w:rsidP="00605736">
            <w:pPr>
              <w:tabs>
                <w:tab w:val="left" w:pos="993"/>
              </w:tabs>
              <w:ind w:firstLine="700"/>
              <w:jc w:val="both"/>
            </w:pPr>
          </w:p>
        </w:tc>
        <w:tc>
          <w:tcPr>
            <w:tcW w:w="1276" w:type="dxa"/>
          </w:tcPr>
          <w:p w:rsidR="00605736" w:rsidRPr="00B23B90" w:rsidRDefault="00605736" w:rsidP="00605736">
            <w:pPr>
              <w:pStyle w:val="a9"/>
              <w:rPr>
                <w:sz w:val="22"/>
                <w:szCs w:val="22"/>
              </w:rPr>
            </w:pPr>
            <w:r>
              <w:rPr>
                <w:sz w:val="27"/>
                <w:szCs w:val="27"/>
              </w:rPr>
              <w:lastRenderedPageBreak/>
              <w:t xml:space="preserve">АО Евразийский </w:t>
            </w:r>
            <w:r>
              <w:rPr>
                <w:sz w:val="27"/>
                <w:szCs w:val="27"/>
              </w:rPr>
              <w:lastRenderedPageBreak/>
              <w:t>Банк</w:t>
            </w:r>
          </w:p>
        </w:tc>
      </w:tr>
      <w:tr w:rsidR="00605736" w:rsidRPr="003D6E13" w:rsidTr="00CC6E8E">
        <w:tc>
          <w:tcPr>
            <w:tcW w:w="675" w:type="dxa"/>
          </w:tcPr>
          <w:p w:rsidR="00605736" w:rsidRPr="003D6E13" w:rsidRDefault="00605736" w:rsidP="00605736">
            <w:pPr>
              <w:pStyle w:val="a4"/>
              <w:contextualSpacing/>
              <w:jc w:val="both"/>
              <w:rPr>
                <w:rStyle w:val="s1"/>
                <w:b w:val="0"/>
                <w:sz w:val="22"/>
                <w:szCs w:val="22"/>
              </w:rPr>
            </w:pPr>
          </w:p>
        </w:tc>
        <w:tc>
          <w:tcPr>
            <w:tcW w:w="1134" w:type="dxa"/>
          </w:tcPr>
          <w:p w:rsidR="00605736" w:rsidRPr="003D6E13" w:rsidRDefault="00605736" w:rsidP="00605736">
            <w:pPr>
              <w:contextualSpacing/>
              <w:jc w:val="center"/>
              <w:rPr>
                <w:sz w:val="22"/>
                <w:szCs w:val="22"/>
              </w:rPr>
            </w:pPr>
          </w:p>
        </w:tc>
        <w:tc>
          <w:tcPr>
            <w:tcW w:w="4111" w:type="dxa"/>
          </w:tcPr>
          <w:p w:rsidR="00605736" w:rsidRPr="003D6E13" w:rsidRDefault="00605736" w:rsidP="00605736">
            <w:pPr>
              <w:ind w:firstLine="397"/>
              <w:jc w:val="both"/>
              <w:rPr>
                <w:rStyle w:val="s0"/>
                <w:sz w:val="22"/>
                <w:szCs w:val="22"/>
              </w:rPr>
            </w:pPr>
          </w:p>
        </w:tc>
        <w:tc>
          <w:tcPr>
            <w:tcW w:w="4111" w:type="dxa"/>
          </w:tcPr>
          <w:p w:rsidR="00605736" w:rsidRPr="003D6E13" w:rsidRDefault="00605736" w:rsidP="00605736">
            <w:pPr>
              <w:jc w:val="both"/>
              <w:rPr>
                <w:rStyle w:val="s0"/>
                <w:sz w:val="22"/>
                <w:szCs w:val="22"/>
              </w:rPr>
            </w:pPr>
          </w:p>
        </w:tc>
        <w:tc>
          <w:tcPr>
            <w:tcW w:w="3745" w:type="dxa"/>
          </w:tcPr>
          <w:p w:rsidR="00605736" w:rsidRPr="003D6E13" w:rsidRDefault="00605736" w:rsidP="00605736">
            <w:pPr>
              <w:widowControl w:val="0"/>
              <w:suppressAutoHyphens/>
              <w:ind w:firstLine="176"/>
              <w:contextualSpacing/>
              <w:jc w:val="both"/>
              <w:rPr>
                <w:rStyle w:val="s0"/>
                <w:sz w:val="22"/>
                <w:szCs w:val="22"/>
              </w:rPr>
            </w:pPr>
          </w:p>
        </w:tc>
        <w:tc>
          <w:tcPr>
            <w:tcW w:w="1276" w:type="dxa"/>
          </w:tcPr>
          <w:p w:rsidR="00605736" w:rsidRPr="003D6E13" w:rsidRDefault="00605736" w:rsidP="00605736">
            <w:pPr>
              <w:widowControl w:val="0"/>
              <w:suppressAutoHyphens/>
              <w:contextualSpacing/>
              <w:jc w:val="center"/>
              <w:rPr>
                <w:sz w:val="22"/>
                <w:szCs w:val="22"/>
              </w:rPr>
            </w:pPr>
          </w:p>
        </w:tc>
      </w:tr>
      <w:tr w:rsidR="00605736" w:rsidRPr="003D6E13" w:rsidTr="00CC6E8E">
        <w:tc>
          <w:tcPr>
            <w:tcW w:w="675" w:type="dxa"/>
          </w:tcPr>
          <w:p w:rsidR="00605736" w:rsidRPr="003D6E13" w:rsidRDefault="00605736" w:rsidP="00605736">
            <w:pPr>
              <w:pStyle w:val="a4"/>
              <w:contextualSpacing/>
              <w:jc w:val="both"/>
              <w:rPr>
                <w:rStyle w:val="s1"/>
                <w:b w:val="0"/>
                <w:sz w:val="22"/>
                <w:szCs w:val="22"/>
              </w:rPr>
            </w:pPr>
          </w:p>
        </w:tc>
        <w:tc>
          <w:tcPr>
            <w:tcW w:w="1134" w:type="dxa"/>
          </w:tcPr>
          <w:p w:rsidR="00605736" w:rsidRPr="003D6E13" w:rsidRDefault="00605736" w:rsidP="00605736">
            <w:pPr>
              <w:contextualSpacing/>
              <w:jc w:val="center"/>
              <w:rPr>
                <w:sz w:val="22"/>
                <w:szCs w:val="22"/>
              </w:rPr>
            </w:pPr>
          </w:p>
        </w:tc>
        <w:tc>
          <w:tcPr>
            <w:tcW w:w="4111" w:type="dxa"/>
          </w:tcPr>
          <w:p w:rsidR="00605736" w:rsidRPr="003D6E13" w:rsidRDefault="00605736" w:rsidP="00605736">
            <w:pPr>
              <w:pStyle w:val="a7"/>
              <w:ind w:left="34" w:firstLine="284"/>
              <w:jc w:val="both"/>
              <w:rPr>
                <w:rStyle w:val="s0"/>
                <w:b/>
                <w:sz w:val="22"/>
                <w:szCs w:val="22"/>
              </w:rPr>
            </w:pPr>
          </w:p>
        </w:tc>
        <w:tc>
          <w:tcPr>
            <w:tcW w:w="4111" w:type="dxa"/>
          </w:tcPr>
          <w:p w:rsidR="00605736" w:rsidRPr="003D6E13" w:rsidRDefault="00605736" w:rsidP="00605736">
            <w:pPr>
              <w:jc w:val="both"/>
              <w:rPr>
                <w:rStyle w:val="s0"/>
                <w:b/>
                <w:sz w:val="22"/>
                <w:szCs w:val="22"/>
              </w:rPr>
            </w:pPr>
          </w:p>
        </w:tc>
        <w:tc>
          <w:tcPr>
            <w:tcW w:w="3745" w:type="dxa"/>
          </w:tcPr>
          <w:p w:rsidR="00605736" w:rsidRPr="003D6E13" w:rsidRDefault="00605736" w:rsidP="00605736">
            <w:pPr>
              <w:widowControl w:val="0"/>
              <w:suppressAutoHyphens/>
              <w:ind w:firstLine="176"/>
              <w:contextualSpacing/>
              <w:jc w:val="both"/>
              <w:rPr>
                <w:rStyle w:val="s0"/>
                <w:sz w:val="22"/>
                <w:szCs w:val="22"/>
              </w:rPr>
            </w:pPr>
          </w:p>
        </w:tc>
        <w:tc>
          <w:tcPr>
            <w:tcW w:w="1276" w:type="dxa"/>
          </w:tcPr>
          <w:p w:rsidR="00605736" w:rsidRPr="003D6E13" w:rsidRDefault="00605736" w:rsidP="00605736">
            <w:pPr>
              <w:widowControl w:val="0"/>
              <w:suppressAutoHyphens/>
              <w:contextualSpacing/>
              <w:jc w:val="center"/>
              <w:rPr>
                <w:sz w:val="22"/>
                <w:szCs w:val="22"/>
              </w:rPr>
            </w:pPr>
          </w:p>
        </w:tc>
      </w:tr>
      <w:tr w:rsidR="00605736" w:rsidRPr="003D6E13" w:rsidTr="00CC6E8E">
        <w:tc>
          <w:tcPr>
            <w:tcW w:w="675" w:type="dxa"/>
          </w:tcPr>
          <w:p w:rsidR="00605736" w:rsidRPr="003D6E13" w:rsidRDefault="00605736" w:rsidP="00605736">
            <w:pPr>
              <w:pStyle w:val="a4"/>
              <w:contextualSpacing/>
              <w:jc w:val="both"/>
              <w:rPr>
                <w:rStyle w:val="s1"/>
                <w:b w:val="0"/>
                <w:sz w:val="22"/>
                <w:szCs w:val="22"/>
              </w:rPr>
            </w:pPr>
          </w:p>
        </w:tc>
        <w:tc>
          <w:tcPr>
            <w:tcW w:w="1134" w:type="dxa"/>
          </w:tcPr>
          <w:p w:rsidR="00605736" w:rsidRPr="003D6E13" w:rsidRDefault="00605736" w:rsidP="00605736">
            <w:pPr>
              <w:contextualSpacing/>
              <w:jc w:val="center"/>
              <w:rPr>
                <w:sz w:val="22"/>
                <w:szCs w:val="22"/>
              </w:rPr>
            </w:pPr>
          </w:p>
        </w:tc>
        <w:tc>
          <w:tcPr>
            <w:tcW w:w="4111" w:type="dxa"/>
          </w:tcPr>
          <w:p w:rsidR="00605736" w:rsidRPr="003D6E13" w:rsidRDefault="00605736" w:rsidP="00605736">
            <w:pPr>
              <w:ind w:firstLine="426"/>
              <w:jc w:val="both"/>
              <w:rPr>
                <w:b/>
                <w:sz w:val="22"/>
                <w:szCs w:val="22"/>
              </w:rPr>
            </w:pPr>
          </w:p>
        </w:tc>
        <w:tc>
          <w:tcPr>
            <w:tcW w:w="4111" w:type="dxa"/>
          </w:tcPr>
          <w:p w:rsidR="00605736" w:rsidRPr="003D6E13" w:rsidRDefault="00605736" w:rsidP="00605736">
            <w:pPr>
              <w:ind w:firstLine="426"/>
              <w:jc w:val="both"/>
              <w:rPr>
                <w:rStyle w:val="s0"/>
                <w:b/>
                <w:sz w:val="22"/>
                <w:szCs w:val="22"/>
              </w:rPr>
            </w:pPr>
          </w:p>
        </w:tc>
        <w:tc>
          <w:tcPr>
            <w:tcW w:w="3745" w:type="dxa"/>
          </w:tcPr>
          <w:p w:rsidR="00605736" w:rsidRPr="003D6E13" w:rsidRDefault="00605736" w:rsidP="00605736">
            <w:pPr>
              <w:widowControl w:val="0"/>
              <w:suppressAutoHyphens/>
              <w:ind w:firstLine="176"/>
              <w:contextualSpacing/>
              <w:jc w:val="both"/>
              <w:rPr>
                <w:rStyle w:val="s0"/>
                <w:sz w:val="22"/>
                <w:szCs w:val="22"/>
              </w:rPr>
            </w:pPr>
          </w:p>
        </w:tc>
        <w:tc>
          <w:tcPr>
            <w:tcW w:w="1276" w:type="dxa"/>
          </w:tcPr>
          <w:p w:rsidR="00605736" w:rsidRPr="003D6E13" w:rsidRDefault="00605736" w:rsidP="00605736">
            <w:pPr>
              <w:widowControl w:val="0"/>
              <w:suppressAutoHyphens/>
              <w:contextualSpacing/>
              <w:jc w:val="center"/>
              <w:rPr>
                <w:sz w:val="22"/>
                <w:szCs w:val="22"/>
              </w:rPr>
            </w:pPr>
          </w:p>
        </w:tc>
      </w:tr>
    </w:tbl>
    <w:p w:rsidR="00E6370E" w:rsidRPr="003D6E13" w:rsidRDefault="00E6370E" w:rsidP="0068146D">
      <w:pPr>
        <w:rPr>
          <w:sz w:val="22"/>
          <w:szCs w:val="22"/>
        </w:rPr>
      </w:pPr>
    </w:p>
    <w:sectPr w:rsidR="00E6370E" w:rsidRPr="003D6E13" w:rsidSect="006D7F82">
      <w:footerReference w:type="default" r:id="rId16"/>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27" w:rsidRDefault="00F91827" w:rsidP="001E03A3">
      <w:r>
        <w:separator/>
      </w:r>
    </w:p>
  </w:endnote>
  <w:endnote w:type="continuationSeparator" w:id="0">
    <w:p w:rsidR="00F91827" w:rsidRDefault="00F91827" w:rsidP="001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920930"/>
      <w:docPartObj>
        <w:docPartGallery w:val="Page Numbers (Bottom of Page)"/>
        <w:docPartUnique/>
      </w:docPartObj>
    </w:sdtPr>
    <w:sdtEndPr/>
    <w:sdtContent>
      <w:p w:rsidR="001E03A3" w:rsidRDefault="001E03A3">
        <w:pPr>
          <w:pStyle w:val="a4"/>
          <w:jc w:val="right"/>
        </w:pPr>
        <w:r>
          <w:fldChar w:fldCharType="begin"/>
        </w:r>
        <w:r>
          <w:instrText>PAGE   \* MERGEFORMAT</w:instrText>
        </w:r>
        <w:r>
          <w:fldChar w:fldCharType="separate"/>
        </w:r>
        <w:r w:rsidR="006562FF">
          <w:rPr>
            <w:noProof/>
          </w:rPr>
          <w:t>2</w:t>
        </w:r>
        <w:r>
          <w:fldChar w:fldCharType="end"/>
        </w:r>
      </w:p>
    </w:sdtContent>
  </w:sdt>
  <w:p w:rsidR="001E03A3" w:rsidRDefault="001E03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27" w:rsidRDefault="00F91827" w:rsidP="001E03A3">
      <w:r>
        <w:separator/>
      </w:r>
    </w:p>
  </w:footnote>
  <w:footnote w:type="continuationSeparator" w:id="0">
    <w:p w:rsidR="00F91827" w:rsidRDefault="00F91827" w:rsidP="001E0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4DD"/>
    <w:multiLevelType w:val="hybridMultilevel"/>
    <w:tmpl w:val="EEB4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05D0A"/>
    <w:multiLevelType w:val="hybridMultilevel"/>
    <w:tmpl w:val="7F4ADA60"/>
    <w:lvl w:ilvl="0" w:tplc="6CDCB5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9B41349"/>
    <w:multiLevelType w:val="hybridMultilevel"/>
    <w:tmpl w:val="B1E66680"/>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498F2BA7"/>
    <w:multiLevelType w:val="hybridMultilevel"/>
    <w:tmpl w:val="CA0CB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A028A"/>
    <w:multiLevelType w:val="hybridMultilevel"/>
    <w:tmpl w:val="1F1C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1294E"/>
    <w:multiLevelType w:val="hybridMultilevel"/>
    <w:tmpl w:val="3910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02218"/>
    <w:multiLevelType w:val="hybridMultilevel"/>
    <w:tmpl w:val="72D6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654689"/>
    <w:multiLevelType w:val="hybridMultilevel"/>
    <w:tmpl w:val="F9EA23B2"/>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9D13724"/>
    <w:multiLevelType w:val="hybridMultilevel"/>
    <w:tmpl w:val="3FD2C8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101AF9"/>
    <w:multiLevelType w:val="hybridMultilevel"/>
    <w:tmpl w:val="B0E0F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53579"/>
    <w:multiLevelType w:val="hybridMultilevel"/>
    <w:tmpl w:val="A2FE6E40"/>
    <w:lvl w:ilvl="0" w:tplc="844E28E2">
      <w:start w:val="1"/>
      <w:numFmt w:val="decimal"/>
      <w:lvlText w:val="%1."/>
      <w:lvlJc w:val="left"/>
      <w:pPr>
        <w:ind w:left="1030" w:hanging="63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8"/>
  </w:num>
  <w:num w:numId="2">
    <w:abstractNumId w:val="7"/>
  </w:num>
  <w:num w:numId="3">
    <w:abstractNumId w:val="2"/>
  </w:num>
  <w:num w:numId="4">
    <w:abstractNumId w:val="9"/>
  </w:num>
  <w:num w:numId="5">
    <w:abstractNumId w:val="10"/>
  </w:num>
  <w:num w:numId="6">
    <w:abstractNumId w:val="5"/>
  </w:num>
  <w:num w:numId="7">
    <w:abstractNumId w:val="1"/>
  </w:num>
  <w:num w:numId="8">
    <w:abstractNumId w:val="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665"/>
    <w:rsid w:val="000446AD"/>
    <w:rsid w:val="00053F68"/>
    <w:rsid w:val="000826A6"/>
    <w:rsid w:val="00093D07"/>
    <w:rsid w:val="000A385D"/>
    <w:rsid w:val="000C06BC"/>
    <w:rsid w:val="000C4BDA"/>
    <w:rsid w:val="000D54CB"/>
    <w:rsid w:val="00115673"/>
    <w:rsid w:val="00131741"/>
    <w:rsid w:val="00141C9C"/>
    <w:rsid w:val="0017750B"/>
    <w:rsid w:val="001B1730"/>
    <w:rsid w:val="001E03A3"/>
    <w:rsid w:val="001F3BB5"/>
    <w:rsid w:val="001F4207"/>
    <w:rsid w:val="00220EAB"/>
    <w:rsid w:val="002615E3"/>
    <w:rsid w:val="002652F3"/>
    <w:rsid w:val="00291665"/>
    <w:rsid w:val="002B4CFD"/>
    <w:rsid w:val="002E13A1"/>
    <w:rsid w:val="003442B2"/>
    <w:rsid w:val="00353A85"/>
    <w:rsid w:val="00381F3B"/>
    <w:rsid w:val="003D6E13"/>
    <w:rsid w:val="003E0130"/>
    <w:rsid w:val="003E23C2"/>
    <w:rsid w:val="004749DF"/>
    <w:rsid w:val="004830EA"/>
    <w:rsid w:val="00494F9A"/>
    <w:rsid w:val="004B76E3"/>
    <w:rsid w:val="004D7A5B"/>
    <w:rsid w:val="00523646"/>
    <w:rsid w:val="005308C9"/>
    <w:rsid w:val="005618BA"/>
    <w:rsid w:val="00577683"/>
    <w:rsid w:val="005A2B46"/>
    <w:rsid w:val="005B2D86"/>
    <w:rsid w:val="005C7B25"/>
    <w:rsid w:val="005E2191"/>
    <w:rsid w:val="005E4457"/>
    <w:rsid w:val="00603558"/>
    <w:rsid w:val="00605720"/>
    <w:rsid w:val="00605736"/>
    <w:rsid w:val="006562FF"/>
    <w:rsid w:val="0068146D"/>
    <w:rsid w:val="006D7F82"/>
    <w:rsid w:val="006F312E"/>
    <w:rsid w:val="00760765"/>
    <w:rsid w:val="008001EB"/>
    <w:rsid w:val="008749D1"/>
    <w:rsid w:val="008A3CD0"/>
    <w:rsid w:val="008C0783"/>
    <w:rsid w:val="008C48BC"/>
    <w:rsid w:val="008D2553"/>
    <w:rsid w:val="008D4DC1"/>
    <w:rsid w:val="008D5BF8"/>
    <w:rsid w:val="00903571"/>
    <w:rsid w:val="00987A5B"/>
    <w:rsid w:val="0099451D"/>
    <w:rsid w:val="009C215F"/>
    <w:rsid w:val="009E73B7"/>
    <w:rsid w:val="009F399E"/>
    <w:rsid w:val="009F5C8E"/>
    <w:rsid w:val="00A23079"/>
    <w:rsid w:val="00A37FA1"/>
    <w:rsid w:val="00A61BF0"/>
    <w:rsid w:val="00A70E97"/>
    <w:rsid w:val="00A73E11"/>
    <w:rsid w:val="00A86238"/>
    <w:rsid w:val="00A9285A"/>
    <w:rsid w:val="00AA57C5"/>
    <w:rsid w:val="00AC478E"/>
    <w:rsid w:val="00B45FD7"/>
    <w:rsid w:val="00B91EF8"/>
    <w:rsid w:val="00B94BE1"/>
    <w:rsid w:val="00BC0A06"/>
    <w:rsid w:val="00BD0DA7"/>
    <w:rsid w:val="00BD7A9C"/>
    <w:rsid w:val="00C04CFC"/>
    <w:rsid w:val="00C561CF"/>
    <w:rsid w:val="00C56F39"/>
    <w:rsid w:val="00CB598D"/>
    <w:rsid w:val="00CB5DF3"/>
    <w:rsid w:val="00CC5DAC"/>
    <w:rsid w:val="00CC6E8E"/>
    <w:rsid w:val="00D5595A"/>
    <w:rsid w:val="00DA43E5"/>
    <w:rsid w:val="00DA7EF3"/>
    <w:rsid w:val="00DC00CC"/>
    <w:rsid w:val="00DC78F3"/>
    <w:rsid w:val="00E04E6A"/>
    <w:rsid w:val="00E10E68"/>
    <w:rsid w:val="00E22290"/>
    <w:rsid w:val="00E313E7"/>
    <w:rsid w:val="00E33458"/>
    <w:rsid w:val="00E3661C"/>
    <w:rsid w:val="00E4173F"/>
    <w:rsid w:val="00E56FDD"/>
    <w:rsid w:val="00E6370E"/>
    <w:rsid w:val="00E91E8F"/>
    <w:rsid w:val="00EA22B8"/>
    <w:rsid w:val="00EB50E4"/>
    <w:rsid w:val="00EC1427"/>
    <w:rsid w:val="00F06E15"/>
    <w:rsid w:val="00F108EF"/>
    <w:rsid w:val="00F33259"/>
    <w:rsid w:val="00F45603"/>
    <w:rsid w:val="00F57EA0"/>
    <w:rsid w:val="00F73C53"/>
    <w:rsid w:val="00F83EF4"/>
    <w:rsid w:val="00F91827"/>
    <w:rsid w:val="00FD1AD8"/>
    <w:rsid w:val="00FD1F19"/>
    <w:rsid w:val="00FF6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91665"/>
    <w:pPr>
      <w:tabs>
        <w:tab w:val="center" w:pos="4677"/>
        <w:tab w:val="right" w:pos="9355"/>
      </w:tabs>
    </w:pPr>
    <w:rPr>
      <w:sz w:val="24"/>
      <w:szCs w:val="24"/>
    </w:rPr>
  </w:style>
  <w:style w:type="character" w:customStyle="1" w:styleId="a5">
    <w:name w:val="Нижний колонтитул Знак"/>
    <w:basedOn w:val="a0"/>
    <w:link w:val="a4"/>
    <w:uiPriority w:val="99"/>
    <w:rsid w:val="00291665"/>
    <w:rPr>
      <w:rFonts w:ascii="Times New Roman" w:eastAsia="Times New Roman" w:hAnsi="Times New Roman" w:cs="Times New Roman"/>
      <w:sz w:val="24"/>
      <w:szCs w:val="24"/>
      <w:lang w:eastAsia="ru-RU"/>
    </w:rPr>
  </w:style>
  <w:style w:type="character" w:customStyle="1" w:styleId="s1">
    <w:name w:val="s1"/>
    <w:rsid w:val="00291665"/>
    <w:rPr>
      <w:rFonts w:ascii="Times New Roman" w:hAnsi="Times New Roman" w:cs="Times New Roman"/>
      <w:b/>
      <w:bCs/>
      <w:color w:val="000000"/>
      <w:sz w:val="28"/>
      <w:szCs w:val="28"/>
      <w:u w:val="none"/>
      <w:effect w:val="none"/>
    </w:rPr>
  </w:style>
  <w:style w:type="character" w:customStyle="1" w:styleId="s0">
    <w:name w:val="s0"/>
    <w:basedOn w:val="a0"/>
    <w:rsid w:val="00EA22B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5618BA"/>
    <w:rPr>
      <w:rFonts w:ascii="Times New Roman" w:hAnsi="Times New Roman" w:cs="Times New Roman" w:hint="default"/>
      <w:b/>
      <w:bCs/>
      <w:i w:val="0"/>
      <w:iCs w:val="0"/>
      <w:color w:val="000080"/>
      <w:sz w:val="20"/>
      <w:szCs w:val="20"/>
      <w:u w:val="single"/>
    </w:rPr>
  </w:style>
  <w:style w:type="paragraph" w:styleId="a7">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8"/>
    <w:uiPriority w:val="34"/>
    <w:qFormat/>
    <w:rsid w:val="00F06E15"/>
    <w:pPr>
      <w:ind w:left="720"/>
      <w:contextualSpacing/>
    </w:pPr>
  </w:style>
  <w:style w:type="paragraph" w:customStyle="1" w:styleId="j13">
    <w:name w:val="j13"/>
    <w:basedOn w:val="a"/>
    <w:rsid w:val="00BD7A9C"/>
    <w:pPr>
      <w:spacing w:before="100" w:beforeAutospacing="1" w:after="100" w:afterAutospacing="1"/>
    </w:pPr>
    <w:rPr>
      <w:sz w:val="24"/>
      <w:szCs w:val="24"/>
    </w:rPr>
  </w:style>
  <w:style w:type="character" w:customStyle="1" w:styleId="s2">
    <w:name w:val="s2"/>
    <w:basedOn w:val="a0"/>
    <w:rsid w:val="00E22290"/>
    <w:rPr>
      <w:color w:val="000080"/>
    </w:rPr>
  </w:style>
  <w:style w:type="paragraph" w:styleId="a9">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a"/>
    <w:uiPriority w:val="99"/>
    <w:qFormat/>
    <w:rsid w:val="00F33259"/>
    <w:pPr>
      <w:spacing w:before="100" w:beforeAutospacing="1" w:after="100" w:afterAutospacing="1"/>
    </w:pPr>
    <w:rPr>
      <w:sz w:val="24"/>
      <w:szCs w:val="24"/>
    </w:rPr>
  </w:style>
  <w:style w:type="character" w:customStyle="1" w:styleId="aa">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9"/>
    <w:uiPriority w:val="99"/>
    <w:locked/>
    <w:rsid w:val="00F33259"/>
    <w:rPr>
      <w:rFonts w:ascii="Times New Roman" w:eastAsia="Times New Roman" w:hAnsi="Times New Roman" w:cs="Times New Roman"/>
      <w:sz w:val="24"/>
      <w:szCs w:val="24"/>
      <w:lang w:eastAsia="ru-RU"/>
    </w:rPr>
  </w:style>
  <w:style w:type="character" w:customStyle="1" w:styleId="a8">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7"/>
    <w:uiPriority w:val="34"/>
    <w:qFormat/>
    <w:locked/>
    <w:rsid w:val="00605736"/>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0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05736"/>
    <w:rPr>
      <w:rFonts w:ascii="Courier New" w:eastAsia="Times New Roman" w:hAnsi="Courier New" w:cs="Courier New"/>
      <w:sz w:val="20"/>
      <w:szCs w:val="20"/>
      <w:lang w:eastAsia="ru-RU"/>
    </w:rPr>
  </w:style>
  <w:style w:type="paragraph" w:styleId="ab">
    <w:name w:val="header"/>
    <w:basedOn w:val="a"/>
    <w:link w:val="ac"/>
    <w:uiPriority w:val="99"/>
    <w:unhideWhenUsed/>
    <w:rsid w:val="001E03A3"/>
    <w:pPr>
      <w:tabs>
        <w:tab w:val="center" w:pos="4677"/>
        <w:tab w:val="right" w:pos="9355"/>
      </w:tabs>
    </w:pPr>
  </w:style>
  <w:style w:type="character" w:customStyle="1" w:styleId="ac">
    <w:name w:val="Верхний колонтитул Знак"/>
    <w:basedOn w:val="a0"/>
    <w:link w:val="ab"/>
    <w:uiPriority w:val="99"/>
    <w:rsid w:val="001E03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C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91665"/>
    <w:pPr>
      <w:tabs>
        <w:tab w:val="center" w:pos="4677"/>
        <w:tab w:val="right" w:pos="9355"/>
      </w:tabs>
    </w:pPr>
    <w:rPr>
      <w:sz w:val="24"/>
      <w:szCs w:val="24"/>
    </w:rPr>
  </w:style>
  <w:style w:type="character" w:customStyle="1" w:styleId="a5">
    <w:name w:val="Нижний колонтитул Знак"/>
    <w:basedOn w:val="a0"/>
    <w:link w:val="a4"/>
    <w:uiPriority w:val="99"/>
    <w:rsid w:val="00291665"/>
    <w:rPr>
      <w:rFonts w:ascii="Times New Roman" w:eastAsia="Times New Roman" w:hAnsi="Times New Roman" w:cs="Times New Roman"/>
      <w:sz w:val="24"/>
      <w:szCs w:val="24"/>
      <w:lang w:eastAsia="ru-RU"/>
    </w:rPr>
  </w:style>
  <w:style w:type="character" w:customStyle="1" w:styleId="s1">
    <w:name w:val="s1"/>
    <w:rsid w:val="00291665"/>
    <w:rPr>
      <w:rFonts w:ascii="Times New Roman" w:hAnsi="Times New Roman" w:cs="Times New Roman"/>
      <w:b/>
      <w:bCs/>
      <w:color w:val="000000"/>
      <w:sz w:val="28"/>
      <w:szCs w:val="28"/>
      <w:u w:val="none"/>
      <w:effect w:val="none"/>
    </w:rPr>
  </w:style>
  <w:style w:type="character" w:customStyle="1" w:styleId="s0">
    <w:name w:val="s0"/>
    <w:basedOn w:val="a0"/>
    <w:rsid w:val="00EA22B8"/>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Hyperlink"/>
    <w:basedOn w:val="a0"/>
    <w:uiPriority w:val="99"/>
    <w:semiHidden/>
    <w:unhideWhenUsed/>
    <w:rsid w:val="005618BA"/>
    <w:rPr>
      <w:rFonts w:ascii="Times New Roman" w:hAnsi="Times New Roman" w:cs="Times New Roman" w:hint="default"/>
      <w:b/>
      <w:bCs/>
      <w:i w:val="0"/>
      <w:iCs w:val="0"/>
      <w:color w:val="000080"/>
      <w:sz w:val="20"/>
      <w:szCs w:val="20"/>
      <w:u w:val="single"/>
    </w:rPr>
  </w:style>
  <w:style w:type="paragraph" w:styleId="a7">
    <w:name w:val="List Paragraph"/>
    <w:aliases w:val="strich,2nd Tier Header,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
    <w:basedOn w:val="a"/>
    <w:link w:val="a8"/>
    <w:uiPriority w:val="34"/>
    <w:qFormat/>
    <w:rsid w:val="00F06E15"/>
    <w:pPr>
      <w:ind w:left="720"/>
      <w:contextualSpacing/>
    </w:pPr>
  </w:style>
  <w:style w:type="paragraph" w:customStyle="1" w:styleId="j13">
    <w:name w:val="j13"/>
    <w:basedOn w:val="a"/>
    <w:rsid w:val="00BD7A9C"/>
    <w:pPr>
      <w:spacing w:before="100" w:beforeAutospacing="1" w:after="100" w:afterAutospacing="1"/>
    </w:pPr>
    <w:rPr>
      <w:sz w:val="24"/>
      <w:szCs w:val="24"/>
    </w:rPr>
  </w:style>
  <w:style w:type="character" w:customStyle="1" w:styleId="s2">
    <w:name w:val="s2"/>
    <w:basedOn w:val="a0"/>
    <w:rsid w:val="00E22290"/>
    <w:rPr>
      <w:color w:val="000080"/>
    </w:rPr>
  </w:style>
  <w:style w:type="paragraph" w:styleId="a9">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Знак Зн"/>
    <w:basedOn w:val="a"/>
    <w:link w:val="aa"/>
    <w:uiPriority w:val="99"/>
    <w:qFormat/>
    <w:rsid w:val="00F33259"/>
    <w:pPr>
      <w:spacing w:before="100" w:beforeAutospacing="1" w:after="100" w:afterAutospacing="1"/>
    </w:pPr>
    <w:rPr>
      <w:sz w:val="24"/>
      <w:szCs w:val="24"/>
    </w:rPr>
  </w:style>
  <w:style w:type="character" w:customStyle="1" w:styleId="aa">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9"/>
    <w:uiPriority w:val="99"/>
    <w:locked/>
    <w:rsid w:val="00F33259"/>
    <w:rPr>
      <w:rFonts w:ascii="Times New Roman" w:eastAsia="Times New Roman" w:hAnsi="Times New Roman" w:cs="Times New Roman"/>
      <w:sz w:val="24"/>
      <w:szCs w:val="24"/>
      <w:lang w:eastAsia="ru-RU"/>
    </w:rPr>
  </w:style>
  <w:style w:type="character" w:customStyle="1" w:styleId="a8">
    <w:name w:val="Абзац списка Знак"/>
    <w:aliases w:val="strich Знак,2nd Tier Header Знак,маркированный Знак,Citation List Знак,Heading1 Знак,Colorful List - Accent 11 Знак,Colorful List - Accent 11CxSpLast Знак,H1-1 Знак,Заголовок3 Знак,it_List1 Знак,ТЗ список Знак,название табл/рис Знак"/>
    <w:link w:val="a7"/>
    <w:uiPriority w:val="34"/>
    <w:qFormat/>
    <w:locked/>
    <w:rsid w:val="00605736"/>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0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05736"/>
    <w:rPr>
      <w:rFonts w:ascii="Courier New" w:eastAsia="Times New Roman" w:hAnsi="Courier New" w:cs="Courier New"/>
      <w:sz w:val="20"/>
      <w:szCs w:val="20"/>
      <w:lang w:eastAsia="ru-RU"/>
    </w:rPr>
  </w:style>
  <w:style w:type="paragraph" w:styleId="ab">
    <w:name w:val="header"/>
    <w:basedOn w:val="a"/>
    <w:link w:val="ac"/>
    <w:uiPriority w:val="99"/>
    <w:unhideWhenUsed/>
    <w:rsid w:val="001E03A3"/>
    <w:pPr>
      <w:tabs>
        <w:tab w:val="center" w:pos="4677"/>
        <w:tab w:val="right" w:pos="9355"/>
      </w:tabs>
    </w:pPr>
  </w:style>
  <w:style w:type="character" w:customStyle="1" w:styleId="ac">
    <w:name w:val="Верхний колонтитул Знак"/>
    <w:basedOn w:val="a0"/>
    <w:link w:val="ab"/>
    <w:uiPriority w:val="99"/>
    <w:rsid w:val="001E03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3965">
      <w:bodyDiv w:val="1"/>
      <w:marLeft w:val="0"/>
      <w:marRight w:val="0"/>
      <w:marTop w:val="0"/>
      <w:marBottom w:val="0"/>
      <w:divBdr>
        <w:top w:val="none" w:sz="0" w:space="0" w:color="auto"/>
        <w:left w:val="none" w:sz="0" w:space="0" w:color="auto"/>
        <w:bottom w:val="none" w:sz="0" w:space="0" w:color="auto"/>
        <w:right w:val="none" w:sz="0" w:space="0" w:color="auto"/>
      </w:divBdr>
    </w:div>
    <w:div w:id="253978946">
      <w:bodyDiv w:val="1"/>
      <w:marLeft w:val="0"/>
      <w:marRight w:val="0"/>
      <w:marTop w:val="0"/>
      <w:marBottom w:val="0"/>
      <w:divBdr>
        <w:top w:val="none" w:sz="0" w:space="0" w:color="auto"/>
        <w:left w:val="none" w:sz="0" w:space="0" w:color="auto"/>
        <w:bottom w:val="none" w:sz="0" w:space="0" w:color="auto"/>
        <w:right w:val="none" w:sz="0" w:space="0" w:color="auto"/>
      </w:divBdr>
    </w:div>
    <w:div w:id="306513566">
      <w:bodyDiv w:val="1"/>
      <w:marLeft w:val="0"/>
      <w:marRight w:val="0"/>
      <w:marTop w:val="0"/>
      <w:marBottom w:val="0"/>
      <w:divBdr>
        <w:top w:val="none" w:sz="0" w:space="0" w:color="auto"/>
        <w:left w:val="none" w:sz="0" w:space="0" w:color="auto"/>
        <w:bottom w:val="none" w:sz="0" w:space="0" w:color="auto"/>
        <w:right w:val="none" w:sz="0" w:space="0" w:color="auto"/>
      </w:divBdr>
    </w:div>
    <w:div w:id="337006834">
      <w:bodyDiv w:val="1"/>
      <w:marLeft w:val="0"/>
      <w:marRight w:val="0"/>
      <w:marTop w:val="0"/>
      <w:marBottom w:val="0"/>
      <w:divBdr>
        <w:top w:val="none" w:sz="0" w:space="0" w:color="auto"/>
        <w:left w:val="none" w:sz="0" w:space="0" w:color="auto"/>
        <w:bottom w:val="none" w:sz="0" w:space="0" w:color="auto"/>
        <w:right w:val="none" w:sz="0" w:space="0" w:color="auto"/>
      </w:divBdr>
    </w:div>
    <w:div w:id="640774345">
      <w:bodyDiv w:val="1"/>
      <w:marLeft w:val="0"/>
      <w:marRight w:val="0"/>
      <w:marTop w:val="0"/>
      <w:marBottom w:val="0"/>
      <w:divBdr>
        <w:top w:val="none" w:sz="0" w:space="0" w:color="auto"/>
        <w:left w:val="none" w:sz="0" w:space="0" w:color="auto"/>
        <w:bottom w:val="none" w:sz="0" w:space="0" w:color="auto"/>
        <w:right w:val="none" w:sz="0" w:space="0" w:color="auto"/>
      </w:divBdr>
    </w:div>
    <w:div w:id="672727619">
      <w:bodyDiv w:val="1"/>
      <w:marLeft w:val="0"/>
      <w:marRight w:val="0"/>
      <w:marTop w:val="0"/>
      <w:marBottom w:val="0"/>
      <w:divBdr>
        <w:top w:val="none" w:sz="0" w:space="0" w:color="auto"/>
        <w:left w:val="none" w:sz="0" w:space="0" w:color="auto"/>
        <w:bottom w:val="none" w:sz="0" w:space="0" w:color="auto"/>
        <w:right w:val="none" w:sz="0" w:space="0" w:color="auto"/>
      </w:divBdr>
      <w:divsChild>
        <w:div w:id="959802937">
          <w:marLeft w:val="0"/>
          <w:marRight w:val="0"/>
          <w:marTop w:val="0"/>
          <w:marBottom w:val="0"/>
          <w:divBdr>
            <w:top w:val="none" w:sz="0" w:space="0" w:color="auto"/>
            <w:left w:val="none" w:sz="0" w:space="0" w:color="auto"/>
            <w:bottom w:val="none" w:sz="0" w:space="0" w:color="auto"/>
            <w:right w:val="none" w:sz="0" w:space="0" w:color="auto"/>
          </w:divBdr>
        </w:div>
      </w:divsChild>
    </w:div>
    <w:div w:id="767582459">
      <w:bodyDiv w:val="1"/>
      <w:marLeft w:val="0"/>
      <w:marRight w:val="0"/>
      <w:marTop w:val="0"/>
      <w:marBottom w:val="0"/>
      <w:divBdr>
        <w:top w:val="none" w:sz="0" w:space="0" w:color="auto"/>
        <w:left w:val="none" w:sz="0" w:space="0" w:color="auto"/>
        <w:bottom w:val="none" w:sz="0" w:space="0" w:color="auto"/>
        <w:right w:val="none" w:sz="0" w:space="0" w:color="auto"/>
      </w:divBdr>
    </w:div>
    <w:div w:id="826479822">
      <w:bodyDiv w:val="1"/>
      <w:marLeft w:val="0"/>
      <w:marRight w:val="0"/>
      <w:marTop w:val="0"/>
      <w:marBottom w:val="0"/>
      <w:divBdr>
        <w:top w:val="none" w:sz="0" w:space="0" w:color="auto"/>
        <w:left w:val="none" w:sz="0" w:space="0" w:color="auto"/>
        <w:bottom w:val="none" w:sz="0" w:space="0" w:color="auto"/>
        <w:right w:val="none" w:sz="0" w:space="0" w:color="auto"/>
      </w:divBdr>
    </w:div>
    <w:div w:id="1034230034">
      <w:bodyDiv w:val="1"/>
      <w:marLeft w:val="0"/>
      <w:marRight w:val="0"/>
      <w:marTop w:val="0"/>
      <w:marBottom w:val="0"/>
      <w:divBdr>
        <w:top w:val="none" w:sz="0" w:space="0" w:color="auto"/>
        <w:left w:val="none" w:sz="0" w:space="0" w:color="auto"/>
        <w:bottom w:val="none" w:sz="0" w:space="0" w:color="auto"/>
        <w:right w:val="none" w:sz="0" w:space="0" w:color="auto"/>
      </w:divBdr>
    </w:div>
    <w:div w:id="1403064421">
      <w:bodyDiv w:val="1"/>
      <w:marLeft w:val="0"/>
      <w:marRight w:val="0"/>
      <w:marTop w:val="0"/>
      <w:marBottom w:val="0"/>
      <w:divBdr>
        <w:top w:val="none" w:sz="0" w:space="0" w:color="auto"/>
        <w:left w:val="none" w:sz="0" w:space="0" w:color="auto"/>
        <w:bottom w:val="none" w:sz="0" w:space="0" w:color="auto"/>
        <w:right w:val="none" w:sz="0" w:space="0" w:color="auto"/>
      </w:divBdr>
      <w:divsChild>
        <w:div w:id="1945766518">
          <w:marLeft w:val="0"/>
          <w:marRight w:val="0"/>
          <w:marTop w:val="0"/>
          <w:marBottom w:val="0"/>
          <w:divBdr>
            <w:top w:val="none" w:sz="0" w:space="0" w:color="auto"/>
            <w:left w:val="none" w:sz="0" w:space="0" w:color="auto"/>
            <w:bottom w:val="none" w:sz="0" w:space="0" w:color="auto"/>
            <w:right w:val="none" w:sz="0" w:space="0" w:color="auto"/>
          </w:divBdr>
        </w:div>
      </w:divsChild>
    </w:div>
    <w:div w:id="1443299907">
      <w:bodyDiv w:val="1"/>
      <w:marLeft w:val="0"/>
      <w:marRight w:val="0"/>
      <w:marTop w:val="0"/>
      <w:marBottom w:val="0"/>
      <w:divBdr>
        <w:top w:val="none" w:sz="0" w:space="0" w:color="auto"/>
        <w:left w:val="none" w:sz="0" w:space="0" w:color="auto"/>
        <w:bottom w:val="none" w:sz="0" w:space="0" w:color="auto"/>
        <w:right w:val="none" w:sz="0" w:space="0" w:color="auto"/>
      </w:divBdr>
      <w:divsChild>
        <w:div w:id="127094588">
          <w:marLeft w:val="0"/>
          <w:marRight w:val="0"/>
          <w:marTop w:val="0"/>
          <w:marBottom w:val="0"/>
          <w:divBdr>
            <w:top w:val="none" w:sz="0" w:space="0" w:color="auto"/>
            <w:left w:val="none" w:sz="0" w:space="0" w:color="auto"/>
            <w:bottom w:val="none" w:sz="0" w:space="0" w:color="auto"/>
            <w:right w:val="none" w:sz="0" w:space="0" w:color="auto"/>
          </w:divBdr>
        </w:div>
      </w:divsChild>
    </w:div>
    <w:div w:id="1634142953">
      <w:bodyDiv w:val="1"/>
      <w:marLeft w:val="0"/>
      <w:marRight w:val="0"/>
      <w:marTop w:val="0"/>
      <w:marBottom w:val="0"/>
      <w:divBdr>
        <w:top w:val="none" w:sz="0" w:space="0" w:color="auto"/>
        <w:left w:val="none" w:sz="0" w:space="0" w:color="auto"/>
        <w:bottom w:val="none" w:sz="0" w:space="0" w:color="auto"/>
        <w:right w:val="none" w:sz="0" w:space="0" w:color="auto"/>
      </w:divBdr>
    </w:div>
    <w:div w:id="1806661346">
      <w:bodyDiv w:val="1"/>
      <w:marLeft w:val="0"/>
      <w:marRight w:val="0"/>
      <w:marTop w:val="0"/>
      <w:marBottom w:val="0"/>
      <w:divBdr>
        <w:top w:val="none" w:sz="0" w:space="0" w:color="auto"/>
        <w:left w:val="none" w:sz="0" w:space="0" w:color="auto"/>
        <w:bottom w:val="none" w:sz="0" w:space="0" w:color="auto"/>
        <w:right w:val="none" w:sz="0" w:space="0" w:color="auto"/>
      </w:divBdr>
    </w:div>
    <w:div w:id="18461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6148637.10119.1006100830_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6148637.342000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6148637.3410000%20" TargetMode="External"/><Relationship Id="rId5" Type="http://schemas.openxmlformats.org/officeDocument/2006/relationships/settings" Target="settings.xml"/><Relationship Id="rId15" Type="http://schemas.openxmlformats.org/officeDocument/2006/relationships/hyperlink" Target="jl:36148637.3460000.1006049173_1" TargetMode="External"/><Relationship Id="rId10" Type="http://schemas.openxmlformats.org/officeDocument/2006/relationships/hyperlink" Target="jl:36148637.3410000%20" TargetMode="External"/><Relationship Id="rId4" Type="http://schemas.microsoft.com/office/2007/relationships/stylesWithEffects" Target="stylesWithEffects.xml"/><Relationship Id="rId9" Type="http://schemas.openxmlformats.org/officeDocument/2006/relationships/hyperlink" Target="https://online.zakon.kz/Document/?doc_id=38910832" TargetMode="External"/><Relationship Id="rId14" Type="http://schemas.openxmlformats.org/officeDocument/2006/relationships/hyperlink" Target="jl:36148637.34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83F1-5286-4913-B608-3063D73B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Мусафирова Шолпан Багитжановна</cp:lastModifiedBy>
  <cp:revision>2</cp:revision>
  <cp:lastPrinted>2019-01-28T11:51:00Z</cp:lastPrinted>
  <dcterms:created xsi:type="dcterms:W3CDTF">2019-02-20T04:27:00Z</dcterms:created>
  <dcterms:modified xsi:type="dcterms:W3CDTF">2019-02-20T04:27:00Z</dcterms:modified>
</cp:coreProperties>
</file>